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D22CE1" w:rsidTr="00D22CE1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D22CE1" w:rsidRDefault="00D22CE1">
            <w:r>
              <w:rPr>
                <w:noProof/>
              </w:rPr>
              <w:drawing>
                <wp:inline distT="0" distB="0" distL="0" distR="0" wp14:anchorId="5CF61E7A" wp14:editId="22215196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D22CE1" w:rsidRDefault="00D22CE1" w:rsidP="005E69AD">
            <w:pPr>
              <w:pStyle w:val="head"/>
              <w:jc w:val="both"/>
            </w:pPr>
            <w:r>
              <w:rPr>
                <w:b/>
                <w:bCs/>
              </w:rPr>
              <w:t>Удельный вес организаций, осуществлявших маркетинговые инновации в отчетном году, в общем числе обследованных организаций</w:t>
            </w:r>
          </w:p>
        </w:tc>
      </w:tr>
    </w:tbl>
    <w:p w:rsidR="00D22CE1" w:rsidRDefault="00D22CE1" w:rsidP="00D22CE1">
      <w:pPr>
        <w:pStyle w:val="a3"/>
        <w:jc w:val="center"/>
      </w:pPr>
      <w:r>
        <w:rPr>
          <w:b/>
          <w:bCs/>
        </w:rPr>
        <w:t>Основные понятия</w:t>
      </w:r>
    </w:p>
    <w:p w:rsidR="005E69AD" w:rsidRPr="005E69AD" w:rsidRDefault="0053403D" w:rsidP="005E69AD">
      <w:pPr>
        <w:spacing w:before="150" w:after="150"/>
        <w:ind w:left="150" w:right="150" w:firstLine="701"/>
        <w:jc w:val="both"/>
        <w:rPr>
          <w:rFonts w:ascii="Verdana" w:hAnsi="Verdana"/>
          <w:i/>
          <w:iCs/>
          <w:sz w:val="17"/>
          <w:szCs w:val="17"/>
        </w:rPr>
      </w:pPr>
      <w:r w:rsidRPr="0053403D">
        <w:rPr>
          <w:rFonts w:ascii="Verdana" w:hAnsi="Verdana"/>
          <w:i/>
          <w:iCs/>
          <w:color w:val="000000"/>
          <w:sz w:val="17"/>
          <w:szCs w:val="17"/>
        </w:rPr>
        <w:t>Форму федерального статистического наблюдения</w:t>
      </w:r>
      <w:r w:rsidRPr="0053403D">
        <w:rPr>
          <w:rFonts w:ascii="Verdana" w:hAnsi="Verdana"/>
          <w:b/>
          <w:bCs/>
          <w:i/>
          <w:iCs/>
          <w:color w:val="000000"/>
          <w:sz w:val="17"/>
          <w:szCs w:val="17"/>
        </w:rPr>
        <w:t> № 4-инновация "Сведения об инновационной деятельности организаций"</w:t>
      </w:r>
      <w:r w:rsidRPr="0053403D">
        <w:rPr>
          <w:rFonts w:ascii="Verdana" w:hAnsi="Verdana"/>
          <w:i/>
          <w:iCs/>
          <w:color w:val="000000"/>
          <w:sz w:val="17"/>
          <w:szCs w:val="17"/>
        </w:rPr>
        <w:t> </w:t>
      </w:r>
      <w:r w:rsidR="005E69AD" w:rsidRPr="005E69AD">
        <w:rPr>
          <w:rFonts w:ascii="Verdana" w:hAnsi="Verdana"/>
          <w:i/>
          <w:iCs/>
          <w:sz w:val="17"/>
          <w:szCs w:val="17"/>
        </w:rPr>
        <w:t xml:space="preserve">ежегодно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 ОК 029-2007 (КДЕС Ред. 1.1.)) в сфере: </w:t>
      </w:r>
      <w:r w:rsidR="00563E2D">
        <w:rPr>
          <w:rFonts w:ascii="Verdana" w:hAnsi="Verdana"/>
          <w:i/>
          <w:iCs/>
          <w:sz w:val="17"/>
          <w:szCs w:val="17"/>
        </w:rPr>
        <w:t xml:space="preserve">растениеводство (код 01.1), – начиная с отчета за 2016 год;  животноводство (код 01.2) – начиная с отчета за 2016 год; растениеводство в сочетании с животноводством (смешанное сельское хозяйство) (код 01.3) – начиная с отчета за 2016 год; предоставление услуг в области растениеводства, декоративного садоводства и животноводства, кроме ветеринарных услуг (код 01.4) – начиная с отчета за 2016 год; </w:t>
      </w:r>
      <w:r w:rsidR="005E69AD" w:rsidRPr="005E69AD">
        <w:rPr>
          <w:rFonts w:ascii="Verdana" w:hAnsi="Verdana"/>
          <w:i/>
          <w:iCs/>
          <w:sz w:val="17"/>
          <w:szCs w:val="17"/>
        </w:rPr>
        <w:t xml:space="preserve">добычи полезных ископаемых (Раздел С); обрабатывающих производств (Раздел D); производства и распределения электроэнергии, газа и воды (Раздел Е) (за исключением торговли электроэнергией (код 40.13.2); торговли газообразным топливом, подаваемым по распределительным сетям (код 40.22.2); торговли паром и горячей водой (тепловой энергией) (код 40.30.6) - начиная с отчета за 2013 год; монтажа  зданий и сооружений из сборных конструкций (код 45.21.7) – начиная с отчета за 2015 год; устройства покрытий зданий и сооружений (код 45.22) – начиная с отчета за 2015 год; производства прочих строительных работ (код 45.25) – начиная с отчета за 2015 год; связи (код 64); деятельности, связанной с использованием вычислительной техники и информационных технологий (код 72); научных исследований и разработок (начиная с отчета за 2011 год) (код 73); предоставления прочих видов услуг (код 74). </w:t>
      </w:r>
    </w:p>
    <w:p w:rsidR="0053403D" w:rsidRPr="0053403D" w:rsidRDefault="005E69AD" w:rsidP="005E69AD">
      <w:pPr>
        <w:spacing w:before="150" w:after="150"/>
        <w:ind w:left="150" w:right="150" w:firstLine="701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 w:rsidRPr="0053403D"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 </w:t>
      </w:r>
      <w:r w:rsidR="0053403D" w:rsidRPr="0053403D">
        <w:rPr>
          <w:rFonts w:ascii="Verdana" w:hAnsi="Verdana"/>
          <w:b/>
          <w:bCs/>
          <w:i/>
          <w:iCs/>
          <w:color w:val="000000"/>
          <w:sz w:val="17"/>
          <w:szCs w:val="17"/>
        </w:rPr>
        <w:t>Инновационная деятельность </w:t>
      </w:r>
      <w:r w:rsidR="0053403D" w:rsidRPr="0053403D">
        <w:rPr>
          <w:rFonts w:ascii="Verdana" w:hAnsi="Verdana"/>
          <w:i/>
          <w:iCs/>
          <w:color w:val="000000"/>
          <w:sz w:val="17"/>
          <w:szCs w:val="17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53403D" w:rsidRPr="0053403D" w:rsidRDefault="0053403D" w:rsidP="005E69AD">
      <w:pPr>
        <w:spacing w:before="150" w:after="150"/>
        <w:ind w:left="150" w:right="150" w:firstLine="701"/>
        <w:jc w:val="both"/>
        <w:rPr>
          <w:rFonts w:ascii="Verdana" w:hAnsi="Verdana"/>
          <w:i/>
          <w:iCs/>
          <w:sz w:val="17"/>
          <w:szCs w:val="17"/>
        </w:rPr>
      </w:pPr>
      <w:r w:rsidRPr="0053403D">
        <w:rPr>
          <w:rFonts w:ascii="Verdana" w:hAnsi="Verdana"/>
          <w:b/>
          <w:bCs/>
          <w:i/>
          <w:iCs/>
          <w:sz w:val="17"/>
          <w:szCs w:val="17"/>
        </w:rPr>
        <w:t>Маркетинговые инновации</w:t>
      </w:r>
      <w:r w:rsidRPr="0053403D">
        <w:rPr>
          <w:rFonts w:ascii="Verdana" w:hAnsi="Verdana"/>
          <w:i/>
          <w:iCs/>
          <w:sz w:val="17"/>
          <w:szCs w:val="17"/>
        </w:rPr>
        <w:t xml:space="preserve"> – реализация новых или значительно улучшенных маркетинговых методов, охватывающих существенные изменения в дизайне и упаковке продуктов, использование новых методов продаж и презентации продуктов (услуг), их представления и продвижения на рынки сбыта, формирование новых ценовых стратегий. Они направлены на более полное удовлетворение потребностей потребителей продуктов, открытие новых рынков сбыта, расширение состава потребителей продуктов и услуг с целью повышения объемов продаж. </w:t>
      </w:r>
    </w:p>
    <w:p w:rsidR="00D22CE1" w:rsidRDefault="00D22CE1" w:rsidP="00D22CE1">
      <w:pPr>
        <w:rPr>
          <w:b/>
          <w:bCs/>
          <w:i/>
          <w:i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D22CE1" w:rsidTr="00D22CE1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D22CE1" w:rsidRDefault="00D22CE1">
            <w:r>
              <w:rPr>
                <w:noProof/>
              </w:rPr>
              <w:drawing>
                <wp:inline distT="0" distB="0" distL="0" distR="0" wp14:anchorId="174F4C32" wp14:editId="582AD20F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D22CE1" w:rsidRDefault="00D22CE1">
            <w:pPr>
              <w:pStyle w:val="head"/>
            </w:pPr>
            <w:r>
              <w:rPr>
                <w:b/>
                <w:bCs/>
              </w:rPr>
              <w:t>Источники и контакты</w:t>
            </w:r>
          </w:p>
        </w:tc>
      </w:tr>
    </w:tbl>
    <w:p w:rsidR="00D22CE1" w:rsidRDefault="00D22CE1" w:rsidP="00D22CE1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D22CE1" w:rsidTr="00D22CE1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D22CE1" w:rsidRDefault="00D22CE1">
            <w:pPr>
              <w:pStyle w:val="a3"/>
            </w:pPr>
            <w:r>
              <w:rPr>
                <w:b/>
                <w:bCs/>
                <w:i/>
                <w:iCs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D22CE1" w:rsidRDefault="00D22CE1">
            <w:pPr>
              <w:pStyle w:val="a3"/>
            </w:pPr>
            <w:r>
              <w:t xml:space="preserve">форма - </w:t>
            </w:r>
            <w:r>
              <w:rPr>
                <w:b/>
                <w:bCs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D22CE1" w:rsidTr="00D22CE1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D22CE1" w:rsidRDefault="00D22CE1">
            <w:pPr>
              <w:pStyle w:val="a3"/>
            </w:pPr>
            <w:r>
              <w:rPr>
                <w:b/>
                <w:bCs/>
                <w:i/>
                <w:iCs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D22CE1" w:rsidRDefault="00D22CE1">
            <w:pPr>
              <w:pStyle w:val="a3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Годовая</w:t>
            </w:r>
            <w:r>
              <w:rPr>
                <w:i/>
                <w:iCs/>
              </w:rPr>
              <w:t xml:space="preserve"> </w:t>
            </w:r>
          </w:p>
        </w:tc>
      </w:tr>
      <w:tr w:rsidR="00D22CE1" w:rsidTr="00D22CE1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D22CE1" w:rsidRDefault="00D22CE1">
            <w:pPr>
              <w:pStyle w:val="a3"/>
            </w:pPr>
            <w:r>
              <w:rPr>
                <w:b/>
                <w:bCs/>
                <w:i/>
                <w:iCs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D22CE1" w:rsidRDefault="00D22CE1">
            <w:pPr>
              <w:pStyle w:val="a3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Сентябрь </w:t>
            </w:r>
            <w:r>
              <w:rPr>
                <w:i/>
                <w:iCs/>
              </w:rPr>
              <w:t xml:space="preserve">следующий за отчетным годом </w:t>
            </w:r>
          </w:p>
        </w:tc>
      </w:tr>
      <w:tr w:rsidR="00D22CE1" w:rsidTr="00D22CE1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D22CE1" w:rsidRDefault="00D22CE1">
            <w:pPr>
              <w:pStyle w:val="a3"/>
            </w:pPr>
            <w:r>
              <w:rPr>
                <w:b/>
                <w:bCs/>
                <w:i/>
                <w:iCs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D22CE1" w:rsidRDefault="00563E2D" w:rsidP="005E69AD">
            <w:pPr>
              <w:pStyle w:val="a3"/>
            </w:pPr>
            <w:r>
              <w:rPr>
                <w:b/>
                <w:bCs/>
                <w:i/>
                <w:iCs/>
              </w:rPr>
              <w:t>Горева Е.А</w:t>
            </w:r>
            <w:bookmarkStart w:id="0" w:name="_GoBack"/>
            <w:bookmarkEnd w:id="0"/>
            <w:r w:rsidR="0053403D">
              <w:rPr>
                <w:b/>
                <w:bCs/>
                <w:i/>
                <w:iCs/>
              </w:rPr>
              <w:t>.</w:t>
            </w:r>
            <w:r w:rsidR="0053403D" w:rsidRPr="00196F49">
              <w:rPr>
                <w:b/>
                <w:bCs/>
                <w:i/>
                <w:iCs/>
              </w:rPr>
              <w:t>, </w:t>
            </w:r>
            <w:r w:rsidR="0053403D" w:rsidRPr="00196F49">
              <w:rPr>
                <w:i/>
                <w:iCs/>
              </w:rPr>
              <w:t>т.</w:t>
            </w:r>
            <w:r w:rsidR="0053403D">
              <w:rPr>
                <w:i/>
                <w:iCs/>
              </w:rPr>
              <w:t xml:space="preserve"> </w:t>
            </w:r>
            <w:r w:rsidR="0053403D" w:rsidRPr="00196F49">
              <w:rPr>
                <w:i/>
                <w:iCs/>
              </w:rPr>
              <w:t xml:space="preserve">8 (495) </w:t>
            </w:r>
            <w:r w:rsidR="005E69AD">
              <w:rPr>
                <w:i/>
                <w:iCs/>
              </w:rPr>
              <w:t>607-42</w:t>
            </w:r>
            <w:r w:rsidR="0053403D">
              <w:rPr>
                <w:i/>
                <w:iCs/>
              </w:rPr>
              <w:t>-</w:t>
            </w:r>
            <w:r w:rsidR="005E69AD">
              <w:rPr>
                <w:i/>
                <w:iCs/>
              </w:rPr>
              <w:t>9</w:t>
            </w:r>
            <w:r w:rsidR="0053403D">
              <w:rPr>
                <w:i/>
                <w:iCs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E1"/>
    <w:rsid w:val="00073F89"/>
    <w:rsid w:val="00103698"/>
    <w:rsid w:val="00135A67"/>
    <w:rsid w:val="00172C21"/>
    <w:rsid w:val="001B75CA"/>
    <w:rsid w:val="001D5C5C"/>
    <w:rsid w:val="001D7DAB"/>
    <w:rsid w:val="00326B8E"/>
    <w:rsid w:val="003A58B2"/>
    <w:rsid w:val="003A780F"/>
    <w:rsid w:val="003D4399"/>
    <w:rsid w:val="00404448"/>
    <w:rsid w:val="00433FDF"/>
    <w:rsid w:val="00517C59"/>
    <w:rsid w:val="00520D3F"/>
    <w:rsid w:val="0053403D"/>
    <w:rsid w:val="00563E2D"/>
    <w:rsid w:val="005E69AD"/>
    <w:rsid w:val="006049AF"/>
    <w:rsid w:val="00651CA0"/>
    <w:rsid w:val="00694367"/>
    <w:rsid w:val="006A52C1"/>
    <w:rsid w:val="006C5805"/>
    <w:rsid w:val="006E0639"/>
    <w:rsid w:val="006F1394"/>
    <w:rsid w:val="00725F21"/>
    <w:rsid w:val="0073097E"/>
    <w:rsid w:val="0075766F"/>
    <w:rsid w:val="00875201"/>
    <w:rsid w:val="008B24B6"/>
    <w:rsid w:val="00951D57"/>
    <w:rsid w:val="00987349"/>
    <w:rsid w:val="009E6512"/>
    <w:rsid w:val="009F2E77"/>
    <w:rsid w:val="00A114E7"/>
    <w:rsid w:val="00A44690"/>
    <w:rsid w:val="00AD3F66"/>
    <w:rsid w:val="00AE40BE"/>
    <w:rsid w:val="00B401B3"/>
    <w:rsid w:val="00B8787C"/>
    <w:rsid w:val="00B92403"/>
    <w:rsid w:val="00C31B40"/>
    <w:rsid w:val="00C339C0"/>
    <w:rsid w:val="00C60393"/>
    <w:rsid w:val="00CD46AB"/>
    <w:rsid w:val="00D22CE1"/>
    <w:rsid w:val="00DC3ABE"/>
    <w:rsid w:val="00DC5627"/>
    <w:rsid w:val="00DD3455"/>
    <w:rsid w:val="00DF7FFD"/>
    <w:rsid w:val="00E12400"/>
    <w:rsid w:val="00E5233B"/>
    <w:rsid w:val="00EA4552"/>
    <w:rsid w:val="00F05CA0"/>
    <w:rsid w:val="00F3662A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E1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customStyle="1" w:styleId="head">
    <w:name w:val="head"/>
    <w:basedOn w:val="a"/>
    <w:rsid w:val="00D22CE1"/>
    <w:pPr>
      <w:spacing w:before="150" w:after="150"/>
      <w:ind w:left="150" w:right="150"/>
    </w:pPr>
    <w:rPr>
      <w:rFonts w:ascii="Verdana" w:hAnsi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2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E1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customStyle="1" w:styleId="head">
    <w:name w:val="head"/>
    <w:basedOn w:val="a"/>
    <w:rsid w:val="00D22CE1"/>
    <w:pPr>
      <w:spacing w:before="150" w:after="150"/>
      <w:ind w:left="150" w:right="150"/>
    </w:pPr>
    <w:rPr>
      <w:rFonts w:ascii="Verdana" w:hAnsi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2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2</cp:revision>
  <dcterms:created xsi:type="dcterms:W3CDTF">2017-09-11T12:49:00Z</dcterms:created>
  <dcterms:modified xsi:type="dcterms:W3CDTF">2017-09-11T12:49:00Z</dcterms:modified>
</cp:coreProperties>
</file>