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F1A48" w14:textId="77777777" w:rsidR="008620A0" w:rsidRPr="00371A77" w:rsidRDefault="00781DA5" w:rsidP="00781D2D">
      <w:pPr>
        <w:spacing w:before="100" w:beforeAutospacing="1" w:after="100" w:afterAutospacing="1" w:line="276" w:lineRule="auto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Цель 10: </w:t>
      </w:r>
      <w:r w:rsidR="008620A0" w:rsidRPr="00371A77">
        <w:rPr>
          <w:rStyle w:val="tlid-translation"/>
          <w:rFonts w:ascii="Times New Roman" w:hAnsi="Times New Roman" w:cs="Times New Roman"/>
          <w:b/>
          <w:sz w:val="24"/>
          <w:szCs w:val="24"/>
        </w:rPr>
        <w:t>Сокращение неравенства внутри стран и между ними</w:t>
      </w:r>
    </w:p>
    <w:p w14:paraId="507DA777" w14:textId="72FE9C4E" w:rsidR="008620A0" w:rsidRPr="00371A77" w:rsidRDefault="00371A77" w:rsidP="00781D2D">
      <w:pPr>
        <w:spacing w:before="100" w:beforeAutospacing="1" w:after="100" w:afterAutospacing="1" w:line="276" w:lineRule="auto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781DA5" w:rsidRPr="00371A77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10.7. </w:t>
      </w:r>
      <w:proofErr w:type="gramStart"/>
      <w:r w:rsidR="008620A0" w:rsidRPr="00371A77">
        <w:rPr>
          <w:rStyle w:val="tlid-translation"/>
          <w:rFonts w:ascii="Times New Roman" w:hAnsi="Times New Roman" w:cs="Times New Roman"/>
          <w:b/>
          <w:sz w:val="24"/>
          <w:szCs w:val="24"/>
        </w:rPr>
        <w:t>Содействовать упорядоченной, безопасной, за конной и ответственной миграции и мобильности людей, в том числе с помощью проведения спланированной и хорошо продуманной миграционной политики</w:t>
      </w:r>
      <w:proofErr w:type="gramEnd"/>
    </w:p>
    <w:p w14:paraId="0F6F8C17" w14:textId="2CBF4D41" w:rsidR="008620A0" w:rsidRDefault="00371A77" w:rsidP="00781D2D">
      <w:pPr>
        <w:spacing w:before="100" w:beforeAutospacing="1" w:after="100" w:afterAutospacing="1" w:line="276" w:lineRule="auto"/>
        <w:rPr>
          <w:rStyle w:val="tlid-translation"/>
          <w:rFonts w:ascii="Times New Roman" w:hAnsi="Times New Roman" w:cs="Times New Roman"/>
          <w:b/>
          <w:color w:val="0070C0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b/>
          <w:color w:val="0070C0"/>
          <w:sz w:val="24"/>
          <w:szCs w:val="24"/>
        </w:rPr>
        <w:t xml:space="preserve">Показатель </w:t>
      </w:r>
      <w:r w:rsidR="00781DA5" w:rsidRPr="00371A77">
        <w:rPr>
          <w:rStyle w:val="tlid-translation"/>
          <w:rFonts w:ascii="Times New Roman" w:hAnsi="Times New Roman" w:cs="Times New Roman"/>
          <w:b/>
          <w:color w:val="0070C0"/>
          <w:sz w:val="24"/>
          <w:szCs w:val="24"/>
        </w:rPr>
        <w:t xml:space="preserve">10.7.2: </w:t>
      </w:r>
      <w:r w:rsidR="008620A0" w:rsidRPr="00371A77">
        <w:rPr>
          <w:rStyle w:val="tlid-translation"/>
          <w:rFonts w:ascii="Times New Roman" w:hAnsi="Times New Roman" w:cs="Times New Roman"/>
          <w:b/>
          <w:color w:val="0070C0"/>
          <w:sz w:val="24"/>
          <w:szCs w:val="24"/>
        </w:rPr>
        <w:t>Число стран, проводящих хорошо продуманную миграционную политику</w:t>
      </w:r>
    </w:p>
    <w:p w14:paraId="55D3511C" w14:textId="77777777" w:rsidR="00781D2D" w:rsidRPr="002A6775" w:rsidRDefault="00781D2D" w:rsidP="00781D2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26DB8394" w14:textId="77777777" w:rsidR="00781D2D" w:rsidRPr="002A6775" w:rsidRDefault="00781D2D" w:rsidP="00781D2D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>Институциональная информация</w:t>
      </w:r>
    </w:p>
    <w:p w14:paraId="4E538787" w14:textId="77777777" w:rsidR="00781D2D" w:rsidRPr="002A6775" w:rsidRDefault="00781D2D" w:rsidP="00781D2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AC08C9E" w14:textId="77777777" w:rsidR="008620A0" w:rsidRPr="00371A77" w:rsidRDefault="008620A0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b/>
          <w:sz w:val="24"/>
          <w:szCs w:val="24"/>
        </w:rPr>
        <w:t>Организаци</w:t>
      </w:r>
      <w:proofErr w:type="gramStart"/>
      <w:r w:rsidRPr="00371A77">
        <w:rPr>
          <w:rStyle w:val="tlid-translation"/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371A77">
        <w:rPr>
          <w:rStyle w:val="tlid-translation"/>
          <w:rFonts w:ascii="Times New Roman" w:hAnsi="Times New Roman" w:cs="Times New Roman"/>
          <w:b/>
          <w:sz w:val="24"/>
          <w:szCs w:val="24"/>
        </w:rPr>
        <w:t>и):</w:t>
      </w:r>
    </w:p>
    <w:p w14:paraId="6BF50B54" w14:textId="13F40072" w:rsidR="008620A0" w:rsidRPr="00371A77" w:rsidRDefault="00781DA5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Международная организация по миграции (МОМ) и Департамент ООН по экономическим и социальным вопросам (ДЭСВ) в качестве агентств-</w:t>
      </w:r>
      <w:r w:rsidR="008620A0" w:rsidRPr="00371A77">
        <w:rPr>
          <w:rStyle w:val="tlid-translation"/>
          <w:rFonts w:ascii="Times New Roman" w:hAnsi="Times New Roman" w:cs="Times New Roman"/>
          <w:sz w:val="24"/>
          <w:szCs w:val="24"/>
        </w:rPr>
        <w:t>кураторов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. Организация по экономическому сотрудничеству и развитию (ОЭСР) в качестве агентства-партнера.</w:t>
      </w:r>
    </w:p>
    <w:p w14:paraId="66C8EA75" w14:textId="77777777" w:rsidR="00781D2D" w:rsidRPr="002A6775" w:rsidRDefault="00781D2D" w:rsidP="00781D2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44D78935" w14:textId="77777777" w:rsidR="00781D2D" w:rsidRPr="002A6775" w:rsidRDefault="00781D2D" w:rsidP="00781D2D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Концепции и определения </w:t>
      </w:r>
    </w:p>
    <w:p w14:paraId="1BB79604" w14:textId="77777777" w:rsidR="00781D2D" w:rsidRPr="002A6775" w:rsidRDefault="00781D2D" w:rsidP="00781D2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2FD05D95" w14:textId="77777777" w:rsidR="00371A77" w:rsidRPr="00371A77" w:rsidRDefault="00781DA5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b/>
          <w:sz w:val="24"/>
          <w:szCs w:val="24"/>
        </w:rPr>
        <w:t>Определение:</w:t>
      </w:r>
    </w:p>
    <w:p w14:paraId="06837061" w14:textId="67A2DCF7" w:rsidR="008620A0" w:rsidRPr="00371A77" w:rsidRDefault="00781DA5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Показатель ЦУР 10.7.2 предназначен для описания состояния национальной миграционной политики и того, как такая политика меняется со временем. Собранная информация направлена на </w:t>
      </w:r>
      <w:proofErr w:type="gramStart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выявление</w:t>
      </w:r>
      <w:proofErr w:type="gramEnd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как достигнутого прогресса, так и пробелов, тем самым способствуя созданию базы фактических данных для практических рекомендаций по реализации цели 10.7 ЦУР. </w:t>
      </w:r>
      <w:r w:rsidR="008620A0" w:rsidRPr="00371A77">
        <w:rPr>
          <w:rStyle w:val="tlid-translation"/>
          <w:rFonts w:ascii="Times New Roman" w:hAnsi="Times New Roman" w:cs="Times New Roman"/>
          <w:sz w:val="24"/>
          <w:szCs w:val="24"/>
        </w:rPr>
        <w:t>Показатель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также будет использоваться для будущих тематических обзоров на Политическом форуме высокого уровня по устойчивому развитию (</w:t>
      </w:r>
      <w:r w:rsidR="008620A0" w:rsidRPr="00371A77">
        <w:rPr>
          <w:rStyle w:val="tlid-translation"/>
          <w:rFonts w:ascii="Times New Roman" w:hAnsi="Times New Roman" w:cs="Times New Roman"/>
          <w:sz w:val="24"/>
          <w:szCs w:val="24"/>
        </w:rPr>
        <w:t>HLPF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).</w:t>
      </w:r>
    </w:p>
    <w:p w14:paraId="7C6A337F" w14:textId="72451F02" w:rsidR="00916775" w:rsidRPr="00371A77" w:rsidRDefault="00781DA5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Концептуальной основой для </w:t>
      </w:r>
      <w:r w:rsidR="008620A0" w:rsidRPr="00371A77">
        <w:rPr>
          <w:rStyle w:val="tlid-translation"/>
          <w:rFonts w:ascii="Times New Roman" w:hAnsi="Times New Roman" w:cs="Times New Roman"/>
          <w:sz w:val="24"/>
          <w:szCs w:val="24"/>
        </w:rPr>
        <w:t>показателя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10.7.2 является Система управления миграцией МОМ (</w:t>
      </w:r>
      <w:proofErr w:type="spellStart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MiGOF</w:t>
      </w:r>
      <w:proofErr w:type="spellEnd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), которую </w:t>
      </w:r>
      <w:r w:rsidR="008620A0" w:rsidRPr="00371A77">
        <w:rPr>
          <w:rStyle w:val="tlid-translation"/>
          <w:rFonts w:ascii="Times New Roman" w:hAnsi="Times New Roman" w:cs="Times New Roman"/>
          <w:sz w:val="24"/>
          <w:szCs w:val="24"/>
        </w:rPr>
        <w:t>согласовали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157 стран (резолюция Совета МОМ C/106/RES/1310). </w:t>
      </w:r>
      <w:proofErr w:type="spellStart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MiGOF</w:t>
      </w:r>
      <w:proofErr w:type="spellEnd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имеет три принципа и три цели </w:t>
      </w:r>
      <w:r w:rsidR="00916775" w:rsidRPr="00371A77">
        <w:rPr>
          <w:rStyle w:val="tlid-translation"/>
          <w:rFonts w:ascii="Times New Roman" w:hAnsi="Times New Roman" w:cs="Times New Roman"/>
          <w:sz w:val="24"/>
          <w:szCs w:val="24"/>
        </w:rPr>
        <w:t>(</w:t>
      </w:r>
      <w:r w:rsidR="008620A0" w:rsidRPr="00371A77">
        <w:rPr>
          <w:rStyle w:val="tlid-translation"/>
          <w:rFonts w:ascii="Times New Roman" w:hAnsi="Times New Roman" w:cs="Times New Roman"/>
          <w:sz w:val="24"/>
          <w:szCs w:val="24"/>
        </w:rPr>
        <w:t>Структура</w:t>
      </w:r>
      <w:r w:rsidR="00916775"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1).</w:t>
      </w:r>
    </w:p>
    <w:p w14:paraId="71E6B788" w14:textId="744E8AC9" w:rsidR="00781DA5" w:rsidRPr="00371A77" w:rsidRDefault="008620A0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b/>
          <w:sz w:val="24"/>
          <w:szCs w:val="24"/>
        </w:rPr>
        <w:t>Структура</w:t>
      </w:r>
      <w:r w:rsidR="00916775" w:rsidRPr="00371A77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1. Принципы и цели структуры управления миграцией</w:t>
      </w:r>
      <w:r w:rsidR="00916775" w:rsidRPr="00371A77">
        <w:rPr>
          <w:rStyle w:val="tlid-translation"/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916775" w:rsidRPr="00371A77" w14:paraId="07A693AF" w14:textId="77777777" w:rsidTr="008620A0">
        <w:tc>
          <w:tcPr>
            <w:tcW w:w="9345" w:type="dxa"/>
            <w:gridSpan w:val="2"/>
          </w:tcPr>
          <w:p w14:paraId="130A27D3" w14:textId="462A3B8C" w:rsidR="00916775" w:rsidRPr="00371A77" w:rsidRDefault="00916775" w:rsidP="00371A77">
            <w:pPr>
              <w:spacing w:before="100" w:beforeAutospacing="1" w:after="100" w:afterAutospacing="1" w:line="276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Принципы и цели государственного управления миграцией</w:t>
            </w:r>
          </w:p>
        </w:tc>
      </w:tr>
      <w:tr w:rsidR="00916775" w:rsidRPr="00371A77" w14:paraId="1D1CC248" w14:textId="77777777" w:rsidTr="008620A0">
        <w:tc>
          <w:tcPr>
            <w:tcW w:w="4531" w:type="dxa"/>
          </w:tcPr>
          <w:p w14:paraId="1C7C65BC" w14:textId="7E42E238" w:rsidR="00916775" w:rsidRPr="00371A77" w:rsidRDefault="00916775" w:rsidP="00371A77">
            <w:pPr>
              <w:spacing w:before="100" w:beforeAutospacing="1" w:after="100" w:afterAutospacing="1" w:line="276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Принципы</w:t>
            </w:r>
          </w:p>
        </w:tc>
        <w:tc>
          <w:tcPr>
            <w:tcW w:w="4814" w:type="dxa"/>
          </w:tcPr>
          <w:p w14:paraId="6B57A9DF" w14:textId="63DE5561" w:rsidR="00916775" w:rsidRPr="00371A77" w:rsidRDefault="00916775" w:rsidP="00371A77">
            <w:pPr>
              <w:spacing w:before="100" w:beforeAutospacing="1" w:after="100" w:afterAutospacing="1" w:line="276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</w:tr>
      <w:tr w:rsidR="00916775" w:rsidRPr="00371A77" w14:paraId="249168DA" w14:textId="77777777" w:rsidTr="008620A0">
        <w:tc>
          <w:tcPr>
            <w:tcW w:w="4531" w:type="dxa"/>
          </w:tcPr>
          <w:p w14:paraId="7355F7C7" w14:textId="0391BA39" w:rsidR="00916775" w:rsidRPr="00371A77" w:rsidRDefault="00916775" w:rsidP="00371A77">
            <w:pPr>
              <w:spacing w:before="100" w:beforeAutospacing="1" w:after="100" w:afterAutospacing="1" w:line="276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1.Соблюдение международных </w:t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lastRenderedPageBreak/>
              <w:t>стандартов в рамках миграционной политики и реализация прав мигрантов.</w:t>
            </w:r>
          </w:p>
        </w:tc>
        <w:tc>
          <w:tcPr>
            <w:tcW w:w="4814" w:type="dxa"/>
          </w:tcPr>
          <w:p w14:paraId="440F9344" w14:textId="1319F8F8" w:rsidR="00916775" w:rsidRPr="00371A77" w:rsidRDefault="005C76AE" w:rsidP="00371A77">
            <w:pPr>
              <w:spacing w:before="100" w:beforeAutospacing="1" w:after="100" w:afterAutospacing="1" w:line="276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16775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благополучие </w:t>
            </w:r>
            <w:r w:rsidR="00916775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lastRenderedPageBreak/>
              <w:t>мигрантов и общества.</w:t>
            </w:r>
          </w:p>
        </w:tc>
      </w:tr>
      <w:tr w:rsidR="00916775" w:rsidRPr="00371A77" w14:paraId="48B5B3DE" w14:textId="77777777" w:rsidTr="008620A0">
        <w:tc>
          <w:tcPr>
            <w:tcW w:w="4531" w:type="dxa"/>
          </w:tcPr>
          <w:p w14:paraId="7970422B" w14:textId="154D4741" w:rsidR="00916775" w:rsidRPr="00371A77" w:rsidRDefault="00916775" w:rsidP="00371A77">
            <w:pPr>
              <w:spacing w:before="100" w:beforeAutospacing="1" w:after="100" w:afterAutospacing="1" w:line="276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lastRenderedPageBreak/>
              <w:t>2.общегосударственные подходы к управлению миграционными потоками.</w:t>
            </w:r>
          </w:p>
        </w:tc>
        <w:tc>
          <w:tcPr>
            <w:tcW w:w="4814" w:type="dxa"/>
          </w:tcPr>
          <w:p w14:paraId="62A756B1" w14:textId="2787EE08" w:rsidR="00916775" w:rsidRPr="00371A77" w:rsidRDefault="005C76AE" w:rsidP="00371A77">
            <w:pPr>
              <w:spacing w:before="100" w:beforeAutospacing="1" w:after="100" w:afterAutospacing="1" w:line="276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2.Э</w:t>
            </w:r>
            <w:r w:rsidR="00916775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ффективны</w:t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й</w:t>
            </w:r>
            <w:r w:rsidR="00916775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клик</w:t>
            </w:r>
            <w:r w:rsidR="00916775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на мобильность измерения кризисов</w:t>
            </w:r>
          </w:p>
        </w:tc>
      </w:tr>
      <w:tr w:rsidR="00916775" w:rsidRPr="00371A77" w14:paraId="69644D2E" w14:textId="77777777" w:rsidTr="008620A0">
        <w:tc>
          <w:tcPr>
            <w:tcW w:w="4531" w:type="dxa"/>
          </w:tcPr>
          <w:p w14:paraId="7DC2373E" w14:textId="6CD80153" w:rsidR="00916775" w:rsidRPr="00371A77" w:rsidRDefault="00916775" w:rsidP="00371A77">
            <w:pPr>
              <w:spacing w:before="100" w:beforeAutospacing="1" w:after="100" w:afterAutospacing="1" w:line="276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3.установление партнёрства с целью контроля миграции.</w:t>
            </w:r>
          </w:p>
        </w:tc>
        <w:tc>
          <w:tcPr>
            <w:tcW w:w="4814" w:type="dxa"/>
          </w:tcPr>
          <w:p w14:paraId="1ECE3F6F" w14:textId="535C18AC" w:rsidR="00916775" w:rsidRPr="00371A77" w:rsidRDefault="005C76AE" w:rsidP="00371A77">
            <w:pPr>
              <w:spacing w:before="100" w:beforeAutospacing="1" w:after="100" w:afterAutospacing="1" w:line="276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3.Безопасные, упорядоченные и достойные пути миграции</w:t>
            </w:r>
          </w:p>
        </w:tc>
      </w:tr>
    </w:tbl>
    <w:p w14:paraId="20A91215" w14:textId="67FB7C11" w:rsidR="00781DA5" w:rsidRPr="00371A77" w:rsidRDefault="00781DA5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14:paraId="76AAB144" w14:textId="77777777" w:rsidR="008620A0" w:rsidRPr="00371A77" w:rsidRDefault="005C76AE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Три принципа предлагают необходимые условия для надлежащего управления миграцией путем создания более эффективной среды для достижения максимальных результатов, чтобы миграция была полезной для всех. Они представляют собой средства, с помощью которых государство обеспечит выполнение системных требований для надлежащего управления миграцией.</w:t>
      </w:r>
    </w:p>
    <w:p w14:paraId="15874C4B" w14:textId="77777777" w:rsidR="008620A0" w:rsidRPr="00371A77" w:rsidRDefault="005C76AE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Три цели являются конкретными и не требуют каких-либо дополнительных соглашений, законов или практик, чем те, которые уже существуют. Взятые вместе, эти цели гарантируют, что миграция управляется комплексным и целостным образом, отвечая на необходимость учитывать мобильные категории людей и удовлетворять их потребности в помощи в случае чрезвычайной ситуации, повышая устойчивость отдельных людей и сообществ, а также обеспечение возможностей для экономического и социального здоровья государства.</w:t>
      </w:r>
    </w:p>
    <w:p w14:paraId="5B54936E" w14:textId="45CF31C2" w:rsidR="005C76AE" w:rsidRPr="00371A77" w:rsidRDefault="005C76AE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MiGOF</w:t>
      </w:r>
      <w:proofErr w:type="spellEnd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, предлагаемая методология для показателя 10.7.2 ЦУР состоит из шести областей политики, с одной мерой прокси для каждо</w:t>
      </w:r>
      <w:r w:rsidR="008620A0" w:rsidRPr="00371A77">
        <w:rPr>
          <w:rStyle w:val="tlid-translation"/>
          <w:rFonts w:ascii="Times New Roman" w:hAnsi="Times New Roman" w:cs="Times New Roman"/>
          <w:sz w:val="24"/>
          <w:szCs w:val="24"/>
        </w:rPr>
        <w:t>й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8620A0" w:rsidRPr="00371A77">
        <w:rPr>
          <w:rStyle w:val="tlid-translation"/>
          <w:rFonts w:ascii="Times New Roman" w:hAnsi="Times New Roman" w:cs="Times New Roman"/>
          <w:sz w:val="24"/>
          <w:szCs w:val="24"/>
        </w:rPr>
        <w:t>области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(</w:t>
      </w:r>
      <w:r w:rsidR="008620A0"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Таблица 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1.)</w:t>
      </w:r>
    </w:p>
    <w:p w14:paraId="46D05F2E" w14:textId="61D6E152" w:rsidR="008620A0" w:rsidRPr="00371A77" w:rsidRDefault="008620A0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b/>
          <w:sz w:val="24"/>
          <w:szCs w:val="24"/>
        </w:rPr>
        <w:t>Таблица 1</w:t>
      </w:r>
      <w:r w:rsidR="00371A77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="00371A77" w:rsidRPr="00371A77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Домены и прокси-меры для </w:t>
      </w:r>
      <w:r w:rsidR="00371A77">
        <w:rPr>
          <w:rStyle w:val="tlid-translation"/>
          <w:rFonts w:ascii="Times New Roman" w:hAnsi="Times New Roman" w:cs="Times New Roman"/>
          <w:b/>
          <w:sz w:val="24"/>
          <w:szCs w:val="24"/>
        </w:rPr>
        <w:t>показателя</w:t>
      </w:r>
      <w:r w:rsidR="00371A77" w:rsidRPr="00371A77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ЦУР 10.7.2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3737"/>
        <w:gridCol w:w="5438"/>
      </w:tblGrid>
      <w:tr w:rsidR="005C76AE" w:rsidRPr="00371A77" w14:paraId="0CBDED7E" w14:textId="77777777" w:rsidTr="008620A0">
        <w:tc>
          <w:tcPr>
            <w:tcW w:w="396" w:type="dxa"/>
          </w:tcPr>
          <w:p w14:paraId="2EC79479" w14:textId="6C8CE198" w:rsidR="005C76AE" w:rsidRPr="00371A77" w:rsidRDefault="005C76AE" w:rsidP="00371A77">
            <w:pPr>
              <w:spacing w:before="100" w:beforeAutospacing="1" w:after="100" w:afterAutospacing="1" w:line="276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3997ACFD" w14:textId="16E60EF8" w:rsidR="005C76AE" w:rsidRPr="00371A77" w:rsidRDefault="00371A77" w:rsidP="00371A77">
            <w:pPr>
              <w:spacing w:before="100" w:beforeAutospacing="1" w:after="100" w:afterAutospacing="1" w:line="276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t-baf-cell"/>
                <w:rFonts w:ascii="Times New Roman" w:hAnsi="Times New Roman" w:cs="Times New Roman"/>
                <w:sz w:val="24"/>
                <w:szCs w:val="24"/>
              </w:rPr>
              <w:t>Домен (</w:t>
            </w:r>
            <w:r w:rsidR="008620A0" w:rsidRPr="00371A77">
              <w:rPr>
                <w:rStyle w:val="gt-baf-cell"/>
                <w:rFonts w:ascii="Times New Roman" w:hAnsi="Times New Roman" w:cs="Times New Roman"/>
                <w:sz w:val="24"/>
                <w:szCs w:val="24"/>
              </w:rPr>
              <w:t>О</w:t>
            </w:r>
            <w:r w:rsidR="00A24212" w:rsidRPr="00371A77">
              <w:rPr>
                <w:rStyle w:val="gt-baf-cell"/>
                <w:rFonts w:ascii="Times New Roman" w:hAnsi="Times New Roman" w:cs="Times New Roman"/>
                <w:sz w:val="24"/>
                <w:szCs w:val="24"/>
              </w:rPr>
              <w:t>бласть</w:t>
            </w:r>
            <w:r>
              <w:rPr>
                <w:rStyle w:val="gt-baf-cell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63" w:type="dxa"/>
          </w:tcPr>
          <w:p w14:paraId="0AD4473F" w14:textId="127820F5" w:rsidR="005C76AE" w:rsidRPr="00371A77" w:rsidRDefault="00371A77" w:rsidP="00371A77">
            <w:pPr>
              <w:spacing w:before="100" w:beforeAutospacing="1" w:after="100" w:afterAutospacing="1" w:line="276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Прокси-меры (</w:t>
            </w:r>
            <w:r w:rsidR="008620A0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Репрезентативные данные</w:t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76AE" w:rsidRPr="00371A77" w14:paraId="1F1E1C67" w14:textId="77777777" w:rsidTr="008620A0">
        <w:tc>
          <w:tcPr>
            <w:tcW w:w="396" w:type="dxa"/>
          </w:tcPr>
          <w:p w14:paraId="6D4CB7B0" w14:textId="6EEA8F0D" w:rsidR="005C76AE" w:rsidRPr="00371A77" w:rsidRDefault="005C76AE" w:rsidP="00371A77">
            <w:pPr>
              <w:spacing w:before="100" w:beforeAutospacing="1" w:after="100" w:afterAutospacing="1" w:line="276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8" w:type="dxa"/>
          </w:tcPr>
          <w:p w14:paraId="332FCEA1" w14:textId="61B101D1" w:rsidR="005C76AE" w:rsidRPr="00371A77" w:rsidRDefault="005C76AE" w:rsidP="00371A77">
            <w:pPr>
              <w:spacing w:before="100" w:beforeAutospacing="1" w:after="100" w:afterAutospacing="1" w:line="276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Права мигрантов</w:t>
            </w:r>
          </w:p>
        </w:tc>
        <w:tc>
          <w:tcPr>
            <w:tcW w:w="5563" w:type="dxa"/>
          </w:tcPr>
          <w:p w14:paraId="4C16BB59" w14:textId="6EDC9CB9" w:rsidR="005C76AE" w:rsidRPr="00371A77" w:rsidRDefault="00A24212" w:rsidP="00371A77">
            <w:pPr>
              <w:spacing w:before="100" w:beforeAutospacing="1" w:after="100" w:afterAutospacing="1" w:line="276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Степень, в которой мигранты имеют равный доступ к услугам, включая здравоохранение, образование, достойную работу, социальное обеспечение и социальные пособия</w:t>
            </w:r>
          </w:p>
        </w:tc>
      </w:tr>
      <w:tr w:rsidR="005C76AE" w:rsidRPr="00371A77" w14:paraId="4CB754F7" w14:textId="77777777" w:rsidTr="008620A0">
        <w:tc>
          <w:tcPr>
            <w:tcW w:w="396" w:type="dxa"/>
          </w:tcPr>
          <w:p w14:paraId="61345171" w14:textId="19A0CE59" w:rsidR="005C76AE" w:rsidRPr="00371A77" w:rsidRDefault="005C76AE" w:rsidP="00371A77">
            <w:pPr>
              <w:spacing w:before="100" w:beforeAutospacing="1" w:after="100" w:afterAutospacing="1" w:line="276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8" w:type="dxa"/>
          </w:tcPr>
          <w:p w14:paraId="2F253478" w14:textId="1D4140F5" w:rsidR="005C76AE" w:rsidRPr="00371A77" w:rsidRDefault="0088192F" w:rsidP="00371A77">
            <w:pPr>
              <w:spacing w:before="100" w:beforeAutospacing="1" w:after="100" w:afterAutospacing="1" w:line="276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Общегосударственная</w:t>
            </w:r>
            <w:r w:rsidR="00A24212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/</w:t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основанная на фактических данных политика</w:t>
            </w:r>
          </w:p>
        </w:tc>
        <w:tc>
          <w:tcPr>
            <w:tcW w:w="5563" w:type="dxa"/>
          </w:tcPr>
          <w:p w14:paraId="415A9FF5" w14:textId="3EA1049E" w:rsidR="005C76AE" w:rsidRPr="00371A77" w:rsidRDefault="00A24212" w:rsidP="00371A77">
            <w:pPr>
              <w:spacing w:before="100" w:beforeAutospacing="1" w:after="100" w:afterAutospacing="1" w:line="276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Специализированные институты, правовые рамки и политика или стратегии по управлению миграцией</w:t>
            </w:r>
          </w:p>
        </w:tc>
      </w:tr>
      <w:tr w:rsidR="005C76AE" w:rsidRPr="00371A77" w14:paraId="0F284894" w14:textId="77777777" w:rsidTr="008620A0">
        <w:tc>
          <w:tcPr>
            <w:tcW w:w="396" w:type="dxa"/>
          </w:tcPr>
          <w:p w14:paraId="30437534" w14:textId="023C8C37" w:rsidR="005C76AE" w:rsidRPr="00371A77" w:rsidRDefault="005C76AE" w:rsidP="00371A77">
            <w:pPr>
              <w:spacing w:before="100" w:beforeAutospacing="1" w:after="100" w:afterAutospacing="1" w:line="276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8" w:type="dxa"/>
          </w:tcPr>
          <w:p w14:paraId="26F40DD4" w14:textId="6A0D20C2" w:rsidR="005C76AE" w:rsidRPr="00371A77" w:rsidRDefault="005C76AE" w:rsidP="00371A77">
            <w:pPr>
              <w:spacing w:before="100" w:beforeAutospacing="1" w:after="100" w:afterAutospacing="1" w:line="276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Сотрудничество и партнерство</w:t>
            </w:r>
          </w:p>
        </w:tc>
        <w:tc>
          <w:tcPr>
            <w:tcW w:w="5563" w:type="dxa"/>
          </w:tcPr>
          <w:p w14:paraId="7BC351DB" w14:textId="4000F44E" w:rsidR="005C76AE" w:rsidRPr="00371A77" w:rsidRDefault="00A24212" w:rsidP="00371A77">
            <w:pPr>
              <w:spacing w:before="100" w:beforeAutospacing="1" w:after="100" w:afterAutospacing="1" w:line="276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Правительственные меры по развитию сотрудничества и поощрению вовлечения заинтересованных сторон и участия в миграционной политике</w:t>
            </w:r>
          </w:p>
        </w:tc>
      </w:tr>
      <w:tr w:rsidR="005C76AE" w:rsidRPr="00371A77" w14:paraId="1E36D6A5" w14:textId="77777777" w:rsidTr="008620A0">
        <w:tc>
          <w:tcPr>
            <w:tcW w:w="396" w:type="dxa"/>
          </w:tcPr>
          <w:p w14:paraId="17751FB9" w14:textId="75579F55" w:rsidR="005C76AE" w:rsidRPr="00371A77" w:rsidRDefault="005C76AE" w:rsidP="00371A77">
            <w:pPr>
              <w:spacing w:before="100" w:beforeAutospacing="1" w:after="100" w:afterAutospacing="1" w:line="276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8" w:type="dxa"/>
          </w:tcPr>
          <w:p w14:paraId="034EBA67" w14:textId="67B504D7" w:rsidR="005C76AE" w:rsidRPr="00371A77" w:rsidRDefault="005C76AE" w:rsidP="00371A77">
            <w:pPr>
              <w:spacing w:before="100" w:beforeAutospacing="1" w:after="100" w:afterAutospacing="1" w:line="276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Социально-экономическое благополучие</w:t>
            </w:r>
          </w:p>
        </w:tc>
        <w:tc>
          <w:tcPr>
            <w:tcW w:w="5563" w:type="dxa"/>
          </w:tcPr>
          <w:p w14:paraId="7E51ABC0" w14:textId="1066B1D0" w:rsidR="005C76AE" w:rsidRPr="00371A77" w:rsidRDefault="00A24212" w:rsidP="00371A77">
            <w:pPr>
              <w:spacing w:before="100" w:beforeAutospacing="1" w:after="100" w:afterAutospacing="1" w:line="276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Правительственные меры по максимизации положительного воздействия миграции на развитие и социально-экономическое благополучие мигрантов</w:t>
            </w:r>
          </w:p>
        </w:tc>
      </w:tr>
      <w:tr w:rsidR="005C76AE" w:rsidRPr="00371A77" w14:paraId="5F9334E0" w14:textId="77777777" w:rsidTr="008620A0">
        <w:tc>
          <w:tcPr>
            <w:tcW w:w="396" w:type="dxa"/>
          </w:tcPr>
          <w:p w14:paraId="38D54618" w14:textId="36D7AC46" w:rsidR="005C76AE" w:rsidRPr="00371A77" w:rsidRDefault="005C76AE" w:rsidP="00371A77">
            <w:pPr>
              <w:spacing w:before="100" w:beforeAutospacing="1" w:after="100" w:afterAutospacing="1" w:line="276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8" w:type="dxa"/>
          </w:tcPr>
          <w:p w14:paraId="68EECB80" w14:textId="650B5B74" w:rsidR="005C76AE" w:rsidRPr="00371A77" w:rsidRDefault="00A24212" w:rsidP="00371A77">
            <w:pPr>
              <w:spacing w:before="100" w:beforeAutospacing="1" w:after="100" w:afterAutospacing="1" w:line="276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Оперативность</w:t>
            </w:r>
            <w:r w:rsidR="005C76AE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измерения </w:t>
            </w:r>
            <w:r w:rsidR="005C76AE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lastRenderedPageBreak/>
              <w:t>кризисов</w:t>
            </w:r>
          </w:p>
        </w:tc>
        <w:tc>
          <w:tcPr>
            <w:tcW w:w="5563" w:type="dxa"/>
          </w:tcPr>
          <w:p w14:paraId="2C01E3F7" w14:textId="3722B64E" w:rsidR="005C76AE" w:rsidRPr="00371A77" w:rsidRDefault="00A24212" w:rsidP="00371A77">
            <w:pPr>
              <w:spacing w:before="100" w:beforeAutospacing="1" w:after="100" w:afterAutospacing="1" w:line="276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Правительственные меры по комплексному </w:t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lastRenderedPageBreak/>
              <w:t>реагированию на беженцев и других насильственно перемещенных лиц</w:t>
            </w:r>
          </w:p>
        </w:tc>
      </w:tr>
      <w:tr w:rsidR="005C76AE" w:rsidRPr="00371A77" w14:paraId="061F3AD0" w14:textId="77777777" w:rsidTr="008620A0">
        <w:tc>
          <w:tcPr>
            <w:tcW w:w="396" w:type="dxa"/>
          </w:tcPr>
          <w:p w14:paraId="2D604D6B" w14:textId="04C58726" w:rsidR="005C76AE" w:rsidRPr="00371A77" w:rsidRDefault="005C76AE" w:rsidP="00371A77">
            <w:pPr>
              <w:spacing w:before="100" w:beforeAutospacing="1" w:after="100" w:afterAutospacing="1" w:line="276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98" w:type="dxa"/>
          </w:tcPr>
          <w:p w14:paraId="6286C5C1" w14:textId="16F8227C" w:rsidR="005C76AE" w:rsidRPr="00371A77" w:rsidRDefault="005C76AE" w:rsidP="00371A77">
            <w:pPr>
              <w:spacing w:before="100" w:beforeAutospacing="1" w:after="100" w:afterAutospacing="1" w:line="276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Безопасная, упорядоченная и регулярная миграция</w:t>
            </w:r>
          </w:p>
        </w:tc>
        <w:tc>
          <w:tcPr>
            <w:tcW w:w="5563" w:type="dxa"/>
          </w:tcPr>
          <w:p w14:paraId="675D6CAE" w14:textId="184CC8B6" w:rsidR="005C76AE" w:rsidRPr="00371A77" w:rsidRDefault="00A24212" w:rsidP="00371A77">
            <w:pPr>
              <w:spacing w:before="100" w:beforeAutospacing="1" w:after="100" w:afterAutospacing="1" w:line="276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Правительственные меры по решению проблемы регулярной или нелегальной иммиграции</w:t>
            </w:r>
          </w:p>
        </w:tc>
      </w:tr>
    </w:tbl>
    <w:p w14:paraId="5D35A795" w14:textId="54BCAFD4" w:rsidR="00781DA5" w:rsidRPr="00371A77" w:rsidRDefault="00781DA5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23D51" w14:textId="3AF2ECB0" w:rsidR="00A24212" w:rsidRPr="00371A77" w:rsidRDefault="00A24212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Для каждой из областей и соответствующих мер действий был задан один вопрос, каждый из которых информирован пятью подкатегориями или ответами (</w:t>
      </w:r>
      <w:r w:rsidR="0088192F" w:rsidRPr="00371A77">
        <w:rPr>
          <w:rStyle w:val="tlid-translation"/>
          <w:rFonts w:ascii="Times New Roman" w:hAnsi="Times New Roman" w:cs="Times New Roman"/>
          <w:sz w:val="24"/>
          <w:szCs w:val="24"/>
        </w:rPr>
        <w:t>Т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аблица 2), чтобы охватить ключевые аспекты диапазона миграционной политики на национальном уровне, позволяя при этом показателю выявить соответствующие различия между странами и с течением времени.</w:t>
      </w:r>
    </w:p>
    <w:p w14:paraId="523FCC08" w14:textId="12B65481" w:rsidR="00A24212" w:rsidRPr="00371A77" w:rsidRDefault="00A24212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b/>
          <w:sz w:val="24"/>
          <w:szCs w:val="24"/>
        </w:rPr>
        <w:t>Таблица 2. Вопросы и подкатегории для показателя ЦУР 10.7.2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271"/>
        <w:gridCol w:w="5062"/>
        <w:gridCol w:w="3115"/>
      </w:tblGrid>
      <w:tr w:rsidR="00A24212" w:rsidRPr="00371A77" w14:paraId="38438077" w14:textId="77777777" w:rsidTr="00A24212">
        <w:tc>
          <w:tcPr>
            <w:tcW w:w="1271" w:type="dxa"/>
          </w:tcPr>
          <w:p w14:paraId="666B16CE" w14:textId="77777777" w:rsidR="00A24212" w:rsidRPr="00371A77" w:rsidRDefault="00A24212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14:paraId="3556C3DD" w14:textId="7F3FE334" w:rsidR="00A24212" w:rsidRPr="00371A77" w:rsidRDefault="00A24212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115" w:type="dxa"/>
          </w:tcPr>
          <w:p w14:paraId="5CA4C5C2" w14:textId="1FB65849" w:rsidR="00A24212" w:rsidRPr="00371A77" w:rsidRDefault="00A24212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Подкатегории</w:t>
            </w:r>
          </w:p>
        </w:tc>
      </w:tr>
      <w:tr w:rsidR="00A24212" w:rsidRPr="00371A77" w14:paraId="37DC8A54" w14:textId="77777777" w:rsidTr="00A24212">
        <w:tc>
          <w:tcPr>
            <w:tcW w:w="1271" w:type="dxa"/>
          </w:tcPr>
          <w:p w14:paraId="10A418AB" w14:textId="5784DE89" w:rsidR="00A24212" w:rsidRPr="00371A77" w:rsidRDefault="00371A77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gt-baf-cell"/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212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2" w:type="dxa"/>
          </w:tcPr>
          <w:p w14:paraId="02531DE2" w14:textId="146EDF27" w:rsidR="00A24212" w:rsidRPr="00371A77" w:rsidRDefault="00A24212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Предоставляет ли правительство не</w:t>
            </w:r>
            <w:r w:rsidR="0088192F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гражданам равный доступ к следующим услугам, социальным пособиям и правам?</w:t>
            </w:r>
          </w:p>
        </w:tc>
        <w:tc>
          <w:tcPr>
            <w:tcW w:w="3115" w:type="dxa"/>
          </w:tcPr>
          <w:p w14:paraId="149CC7B3" w14:textId="77777777" w:rsidR="0088192F" w:rsidRPr="00371A77" w:rsidRDefault="0088192F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а. Основное и</w:t>
            </w:r>
            <w:r w:rsidR="00A24212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/или неотложное медицинское обслуживание</w:t>
            </w:r>
          </w:p>
          <w:p w14:paraId="57564240" w14:textId="6D6502C2" w:rsidR="0088192F" w:rsidRPr="00371A77" w:rsidRDefault="0088192F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 Государственное о</w:t>
            </w:r>
            <w:r w:rsidR="00A24212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бразование</w:t>
            </w:r>
          </w:p>
          <w:p w14:paraId="3FE3932C" w14:textId="23387522" w:rsidR="0088192F" w:rsidRPr="00371A77" w:rsidRDefault="00A24212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 Равная оплата за равный труд</w:t>
            </w:r>
          </w:p>
          <w:p w14:paraId="5EED4F2F" w14:textId="77777777" w:rsidR="0088192F" w:rsidRPr="00371A77" w:rsidRDefault="00A24212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Социальная защита</w:t>
            </w:r>
          </w:p>
          <w:p w14:paraId="49AE1EB3" w14:textId="5103B6A2" w:rsidR="00A24212" w:rsidRPr="00371A77" w:rsidRDefault="00A24212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е. Доступ к правосудию</w:t>
            </w:r>
          </w:p>
        </w:tc>
      </w:tr>
      <w:tr w:rsidR="00A24212" w:rsidRPr="00371A77" w14:paraId="1623CE20" w14:textId="77777777" w:rsidTr="00A24212">
        <w:tc>
          <w:tcPr>
            <w:tcW w:w="1271" w:type="dxa"/>
          </w:tcPr>
          <w:p w14:paraId="22B38612" w14:textId="4B4B3247" w:rsidR="00A24212" w:rsidRPr="00371A77" w:rsidRDefault="00371A77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gt-baf-cell"/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212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2" w:type="dxa"/>
          </w:tcPr>
          <w:p w14:paraId="5C2B13F0" w14:textId="1DD0B881" w:rsidR="00A24212" w:rsidRPr="00371A77" w:rsidRDefault="00A24212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Есть ли у правительства какие-либо из следующих институтов, политик</w:t>
            </w:r>
            <w:r w:rsidR="0088192F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или стратеги</w:t>
            </w:r>
            <w:r w:rsidR="0088192F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</w:t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для управления иммиграцией или эмиграцией?</w:t>
            </w:r>
            <w:proofErr w:type="gramEnd"/>
          </w:p>
        </w:tc>
        <w:tc>
          <w:tcPr>
            <w:tcW w:w="3115" w:type="dxa"/>
          </w:tcPr>
          <w:p w14:paraId="7BA8CF40" w14:textId="6F2C28CD" w:rsidR="00A24212" w:rsidRPr="00371A77" w:rsidRDefault="000954F7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а. Специализированное государственное учреждение для реализации национальной миграционной политики</w:t>
            </w:r>
            <w:r w:rsidRPr="00371A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б. Национальная политика или стратегия для регулярных миграционных путей, включая трудовую миграцию</w:t>
            </w:r>
            <w:r w:rsidRPr="00371A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с. Национальная политика или стратегия по содействию </w:t>
            </w:r>
            <w:r w:rsidR="0088192F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включения</w:t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или интеграции иммигрантов</w:t>
            </w:r>
            <w:r w:rsidRPr="00371A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д. Формальные механизмы для обеспечения того, чтобы миграционная </w:t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lastRenderedPageBreak/>
              <w:t>политика учитывала гендерные аспекты</w:t>
            </w:r>
            <w:r w:rsidRPr="00371A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е. Механизм для обеспечения того, чтобы миграционная политика основывалась на данных, соответствующим образом </w:t>
            </w:r>
            <w:r w:rsidR="0088192F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дезагрегированных</w:t>
            </w:r>
            <w:proofErr w:type="gramEnd"/>
          </w:p>
        </w:tc>
      </w:tr>
      <w:tr w:rsidR="00A24212" w:rsidRPr="00371A77" w14:paraId="47503C39" w14:textId="77777777" w:rsidTr="00A24212">
        <w:tc>
          <w:tcPr>
            <w:tcW w:w="1271" w:type="dxa"/>
          </w:tcPr>
          <w:p w14:paraId="76A76F79" w14:textId="1D25CF8E" w:rsidR="00A24212" w:rsidRPr="00371A77" w:rsidRDefault="00371A77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gt-baf-cell"/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212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2" w:type="dxa"/>
          </w:tcPr>
          <w:p w14:paraId="106C6A99" w14:textId="538CE767" w:rsidR="00A24212" w:rsidRPr="00371A77" w:rsidRDefault="00A24212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Принимает ли правительство какие-либо из следующих мер для развития сотрудничества между странами и поощрения вовлечения заинтересованных сторон и участия в миграционной политике?</w:t>
            </w:r>
          </w:p>
        </w:tc>
        <w:tc>
          <w:tcPr>
            <w:tcW w:w="3115" w:type="dxa"/>
          </w:tcPr>
          <w:p w14:paraId="76B08A11" w14:textId="77777777" w:rsidR="0088192F" w:rsidRPr="00371A77" w:rsidRDefault="000954F7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а. Межведомственный координационный механизм по миграции</w:t>
            </w:r>
            <w:r w:rsidRPr="00371A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б. Двусторонние соглашения по миграции, включая трудовую миграцию</w:t>
            </w:r>
          </w:p>
          <w:p w14:paraId="16E9B2DA" w14:textId="77777777" w:rsidR="0088192F" w:rsidRPr="00371A77" w:rsidRDefault="000954F7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с. Региональные соглашения, способствующие мобильности</w:t>
            </w:r>
          </w:p>
          <w:p w14:paraId="2A4229F4" w14:textId="1E7F19AF" w:rsidR="00A24212" w:rsidRPr="00371A77" w:rsidRDefault="000954F7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Соглашения о сотрудничестве с другими странами по возврату и выдаче нелегальных мигрантов</w:t>
            </w:r>
            <w:r w:rsidRPr="00371A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е. Официальные механизмы привлечения гражданского общества и частного сектора к разработке и реализации миграционной политики</w:t>
            </w:r>
          </w:p>
        </w:tc>
      </w:tr>
      <w:tr w:rsidR="00A24212" w:rsidRPr="00371A77" w14:paraId="36477949" w14:textId="77777777" w:rsidTr="00A24212">
        <w:tc>
          <w:tcPr>
            <w:tcW w:w="1271" w:type="dxa"/>
          </w:tcPr>
          <w:p w14:paraId="6C233497" w14:textId="0D1166D2" w:rsidR="00A24212" w:rsidRPr="00371A77" w:rsidRDefault="00371A77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gt-baf-cell"/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212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2" w:type="dxa"/>
          </w:tcPr>
          <w:p w14:paraId="1DA5758D" w14:textId="0EA68FE3" w:rsidR="00A24212" w:rsidRPr="00371A77" w:rsidRDefault="00A24212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Принимает ли правительство какие-либо из следующих мер для максимизации положительного воздействия миграции на развитие и социально-экономическо</w:t>
            </w:r>
            <w:r w:rsidR="0088192F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благополучи</w:t>
            </w:r>
            <w:r w:rsidR="0088192F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мигрантов?</w:t>
            </w:r>
          </w:p>
        </w:tc>
        <w:tc>
          <w:tcPr>
            <w:tcW w:w="3115" w:type="dxa"/>
          </w:tcPr>
          <w:p w14:paraId="298DC72A" w14:textId="77777777" w:rsidR="0088192F" w:rsidRPr="00371A77" w:rsidRDefault="000954F7" w:rsidP="00371A77">
            <w:pPr>
              <w:spacing w:before="100" w:beforeAutospacing="1" w:after="100" w:afterAutospacing="1" w:line="276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а. Приве</w:t>
            </w:r>
            <w:r w:rsidR="0088192F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в соответствие посредством периодических оценок политику в области трудовой миграции с фактическими и прогнозируемыми потребностями рынка труда</w:t>
            </w:r>
            <w:r w:rsidRPr="00371A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88192F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Содействие переносу пособий по социальному обеспечению</w:t>
            </w:r>
          </w:p>
          <w:p w14:paraId="6F9B5CE4" w14:textId="2A5E869B" w:rsidR="00A24212" w:rsidRPr="00371A77" w:rsidRDefault="000954F7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 Способствова</w:t>
            </w:r>
            <w:r w:rsidR="0088192F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lastRenderedPageBreak/>
              <w:t>признанию навыков и квалификаций, приобретенных за границей</w:t>
            </w:r>
            <w:r w:rsidRPr="00371A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8192F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Облегчение или поощрение денежных переводов</w:t>
            </w:r>
            <w:r w:rsidRPr="00371A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88192F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Содействие справедливому и этичному найму трудящихся-мигрантов</w:t>
            </w:r>
          </w:p>
        </w:tc>
      </w:tr>
      <w:tr w:rsidR="00A24212" w:rsidRPr="00371A77" w14:paraId="22BB36E3" w14:textId="77777777" w:rsidTr="00A24212">
        <w:tc>
          <w:tcPr>
            <w:tcW w:w="1271" w:type="dxa"/>
          </w:tcPr>
          <w:p w14:paraId="6F04B311" w14:textId="3DAA13AC" w:rsidR="00A24212" w:rsidRPr="00371A77" w:rsidRDefault="00371A77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gt-baf-cell"/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212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2" w:type="dxa"/>
          </w:tcPr>
          <w:p w14:paraId="2256934E" w14:textId="4CD9A245" w:rsidR="00A24212" w:rsidRPr="00371A77" w:rsidRDefault="00A24212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Принимает ли правительство какие-либо из следующих мер для реагирования на беженцев и других лиц, насильственно перемещенных через международные границы?</w:t>
            </w:r>
            <w:proofErr w:type="gramEnd"/>
          </w:p>
        </w:tc>
        <w:tc>
          <w:tcPr>
            <w:tcW w:w="3115" w:type="dxa"/>
          </w:tcPr>
          <w:p w14:paraId="6E5DE230" w14:textId="73B59980" w:rsidR="00A24212" w:rsidRPr="00371A77" w:rsidRDefault="000954F7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а. Система для получения, обработки и идентификации лиц, вынужденных бежать через международные границы</w:t>
            </w:r>
            <w:r w:rsidRPr="00371A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  б. Планирование на случай чрезвычайных обстоятельств для перемещенных лиц с точки зрения основных потребностей, таких как питание, санитария, образование и медицинское обслуживание</w:t>
            </w:r>
            <w:r w:rsidRPr="00371A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с. Конкретные меры по оказанию помощи гражданам, проживающим за рубежом в странах, находящихся в кризисных или посткризисных ситуациях</w:t>
            </w:r>
            <w:r w:rsidRPr="00371A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д. Национальная стратегия снижения риска бедствий с</w:t>
            </w:r>
            <w:proofErr w:type="gramEnd"/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конкретными положениями по устранению последствий стихийных бедствий, вызванных перемещением населения</w:t>
            </w:r>
            <w:r w:rsidRPr="00371A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 е. Предостав</w:t>
            </w:r>
            <w:r w:rsidR="00EC0424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разрешени</w:t>
            </w:r>
            <w:r w:rsidR="00EC0424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</w:t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на временное пребывание или временную защиту лицам, перемещенным через международные границы, и лицам, которые не могут </w:t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lastRenderedPageBreak/>
              <w:t>вернуться</w:t>
            </w:r>
          </w:p>
        </w:tc>
      </w:tr>
      <w:tr w:rsidR="00A24212" w:rsidRPr="00371A77" w14:paraId="57BBB9C9" w14:textId="77777777" w:rsidTr="00A24212">
        <w:tc>
          <w:tcPr>
            <w:tcW w:w="1271" w:type="dxa"/>
          </w:tcPr>
          <w:p w14:paraId="0335683A" w14:textId="30A1FDF6" w:rsidR="00A24212" w:rsidRPr="00371A77" w:rsidRDefault="00371A77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gt-baf-cell"/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212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2" w:type="dxa"/>
          </w:tcPr>
          <w:p w14:paraId="32EC30AB" w14:textId="58CCC145" w:rsidR="00A24212" w:rsidRPr="00371A77" w:rsidRDefault="00A24212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Обращается ли правительство к регулярной или нерегулярной иммиграции с помощью следующих мер?</w:t>
            </w:r>
          </w:p>
        </w:tc>
        <w:tc>
          <w:tcPr>
            <w:tcW w:w="3115" w:type="dxa"/>
          </w:tcPr>
          <w:p w14:paraId="2A13E16C" w14:textId="127F459F" w:rsidR="00A24212" w:rsidRPr="00371A77" w:rsidRDefault="000954F7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а. Система мониторинга просроченных </w:t>
            </w:r>
            <w:proofErr w:type="gramStart"/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виз</w:t>
            </w:r>
            <w:r w:rsidRPr="00371A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 Элементы управления авторизацией перед прибытием</w:t>
            </w:r>
            <w:r w:rsidRPr="00371A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с. Условия для несопровождаемых несовершеннолетних или разлученных детей</w:t>
            </w:r>
            <w:r w:rsidRPr="00371A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C0424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кампании по вопросам миграции</w:t>
            </w:r>
            <w:r w:rsidRPr="00371A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е. Формальные стратегии по борьбе с торговлей людьми и контрабандой мигрантов</w:t>
            </w:r>
          </w:p>
        </w:tc>
      </w:tr>
    </w:tbl>
    <w:p w14:paraId="77D4837F" w14:textId="4CBDC876" w:rsidR="00A24212" w:rsidRPr="00371A77" w:rsidRDefault="00A24212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0A09A1" w14:textId="77777777" w:rsidR="00371A77" w:rsidRDefault="000954F7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b/>
          <w:sz w:val="24"/>
          <w:szCs w:val="24"/>
        </w:rPr>
        <w:t>Обоснование:</w:t>
      </w:r>
    </w:p>
    <w:p w14:paraId="27C039C6" w14:textId="10201512" w:rsidR="000954F7" w:rsidRPr="00371A77" w:rsidRDefault="000954F7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Основная цель предлагаемой методологии состоит в том, чтобы сформулировать четкий и простой показатель на основе существующего источника данных, который может дать значимую, действенную и своевременную информацию о ключевых тенденциях и пробелах в отношении «хорошо управляемой миграционной политики» стран (</w:t>
      </w:r>
      <w:r w:rsidR="00EC0424" w:rsidRPr="00371A77">
        <w:rPr>
          <w:rStyle w:val="tlid-translation"/>
          <w:rFonts w:ascii="Times New Roman" w:hAnsi="Times New Roman" w:cs="Times New Roman"/>
          <w:sz w:val="24"/>
          <w:szCs w:val="24"/>
        </w:rPr>
        <w:t>структура 2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). Предложенный </w:t>
      </w:r>
      <w:r w:rsidR="00EC0424" w:rsidRPr="00371A77">
        <w:rPr>
          <w:rStyle w:val="tlid-translation"/>
          <w:rFonts w:ascii="Times New Roman" w:hAnsi="Times New Roman" w:cs="Times New Roman"/>
          <w:sz w:val="24"/>
          <w:szCs w:val="24"/>
        </w:rPr>
        <w:t>показатель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может использоваться в качестве синтетической меры для мониторинга цели 10.7 ЦУР и дополня</w:t>
      </w:r>
      <w:r w:rsidR="00EC0424" w:rsidRPr="00371A77">
        <w:rPr>
          <w:rStyle w:val="tlid-translation"/>
          <w:rFonts w:ascii="Times New Roman" w:hAnsi="Times New Roman" w:cs="Times New Roman"/>
          <w:sz w:val="24"/>
          <w:szCs w:val="24"/>
        </w:rPr>
        <w:t>ть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другие национальные системы мониторинга миграции, включая показатели МОМ по управлению миграцией (MGI)</w:t>
      </w:r>
      <w:r w:rsidR="0032105A" w:rsidRPr="00371A77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14:paraId="0682DA1B" w14:textId="39A23C53" w:rsidR="00D40106" w:rsidRPr="00371A77" w:rsidRDefault="00EC0424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b/>
          <w:sz w:val="24"/>
          <w:szCs w:val="24"/>
        </w:rPr>
        <w:t>Структура 2</w:t>
      </w:r>
      <w:r w:rsidR="00D40106" w:rsidRPr="00371A77">
        <w:rPr>
          <w:rStyle w:val="tlid-translation"/>
          <w:rFonts w:ascii="Times New Roman" w:hAnsi="Times New Roman" w:cs="Times New Roman"/>
          <w:b/>
          <w:sz w:val="24"/>
          <w:szCs w:val="24"/>
        </w:rPr>
        <w:t>. Область применения и ограничения предлагаемого показателя.</w:t>
      </w:r>
    </w:p>
    <w:tbl>
      <w:tblPr>
        <w:tblStyle w:val="a3"/>
        <w:tblW w:w="10201" w:type="dxa"/>
        <w:tblInd w:w="-841" w:type="dxa"/>
        <w:tblLook w:val="04A0" w:firstRow="1" w:lastRow="0" w:firstColumn="1" w:lastColumn="0" w:noHBand="0" w:noVBand="1"/>
      </w:tblPr>
      <w:tblGrid>
        <w:gridCol w:w="5528"/>
        <w:gridCol w:w="4673"/>
      </w:tblGrid>
      <w:tr w:rsidR="00D40106" w:rsidRPr="00371A77" w14:paraId="0DC282C9" w14:textId="77777777" w:rsidTr="00EC0424">
        <w:tc>
          <w:tcPr>
            <w:tcW w:w="10201" w:type="dxa"/>
            <w:gridSpan w:val="2"/>
          </w:tcPr>
          <w:p w14:paraId="45CE132D" w14:textId="609F8572" w:rsidR="00D40106" w:rsidRPr="00371A77" w:rsidRDefault="00D40106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Показатель ЦУР 10.7.2</w:t>
            </w:r>
          </w:p>
        </w:tc>
      </w:tr>
      <w:tr w:rsidR="00D40106" w:rsidRPr="00371A77" w14:paraId="41364158" w14:textId="77777777" w:rsidTr="00EC0424">
        <w:tc>
          <w:tcPr>
            <w:tcW w:w="5528" w:type="dxa"/>
          </w:tcPr>
          <w:p w14:paraId="7A201FE6" w14:textId="54B57CD1" w:rsidR="00D40106" w:rsidRPr="00371A77" w:rsidRDefault="005B61F6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допустимо</w:t>
            </w:r>
            <w:r w:rsidR="00D40106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14:paraId="3D74B450" w14:textId="05AB085D" w:rsidR="00D40106" w:rsidRPr="00371A77" w:rsidRDefault="005B61F6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Не допустимо</w:t>
            </w:r>
            <w:r w:rsidR="00D40106" w:rsidRPr="00371A7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40106" w:rsidRPr="00371A77" w14:paraId="7648CB8C" w14:textId="77777777" w:rsidTr="00EC0424">
        <w:tc>
          <w:tcPr>
            <w:tcW w:w="5528" w:type="dxa"/>
          </w:tcPr>
          <w:p w14:paraId="5975B677" w14:textId="04605C14" w:rsidR="00D40106" w:rsidRPr="00371A77" w:rsidRDefault="00D40106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Fonts w:ascii="Times New Roman" w:hAnsi="Times New Roman" w:cs="Times New Roman"/>
                <w:sz w:val="24"/>
                <w:szCs w:val="24"/>
              </w:rPr>
              <w:t>Документирование существования и объёма миграционной политики на уровне стран.</w:t>
            </w:r>
          </w:p>
        </w:tc>
        <w:tc>
          <w:tcPr>
            <w:tcW w:w="4673" w:type="dxa"/>
          </w:tcPr>
          <w:p w14:paraId="13E5E9D8" w14:textId="7DEFE3D9" w:rsidR="00D40106" w:rsidRPr="00371A77" w:rsidRDefault="005B61F6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Fonts w:ascii="Times New Roman" w:hAnsi="Times New Roman" w:cs="Times New Roman"/>
                <w:sz w:val="24"/>
                <w:szCs w:val="24"/>
              </w:rPr>
              <w:t>Существование в качестве национальной основы для мониторинга миграционной политики</w:t>
            </w:r>
          </w:p>
        </w:tc>
      </w:tr>
      <w:tr w:rsidR="00D40106" w:rsidRPr="00371A77" w14:paraId="20F8E5F6" w14:textId="77777777" w:rsidTr="00EC0424">
        <w:tc>
          <w:tcPr>
            <w:tcW w:w="5528" w:type="dxa"/>
          </w:tcPr>
          <w:p w14:paraId="61B5B005" w14:textId="73324973" w:rsidR="00D40106" w:rsidRPr="00371A77" w:rsidRDefault="00D40106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Fonts w:ascii="Times New Roman" w:hAnsi="Times New Roman" w:cs="Times New Roman"/>
                <w:sz w:val="24"/>
                <w:szCs w:val="24"/>
              </w:rPr>
              <w:t>Мониторинг прогресса в сопоставимых областях политики.</w:t>
            </w:r>
          </w:p>
        </w:tc>
        <w:tc>
          <w:tcPr>
            <w:tcW w:w="4673" w:type="dxa"/>
          </w:tcPr>
          <w:p w14:paraId="122E9AE4" w14:textId="42A34542" w:rsidR="00D40106" w:rsidRPr="00371A77" w:rsidRDefault="005B61F6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исчерпывающей картины рассмотрения миграционной политики </w:t>
            </w:r>
          </w:p>
        </w:tc>
      </w:tr>
      <w:tr w:rsidR="00D40106" w:rsidRPr="00371A77" w14:paraId="6F36C7B8" w14:textId="77777777" w:rsidTr="00EC0424">
        <w:tc>
          <w:tcPr>
            <w:tcW w:w="5528" w:type="dxa"/>
          </w:tcPr>
          <w:p w14:paraId="079ACCA3" w14:textId="4C7F9533" w:rsidR="00D40106" w:rsidRPr="00371A77" w:rsidRDefault="00D40106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пробелов в политике для выявления стран, в которых необходимо наращивание потенциала  </w:t>
            </w:r>
          </w:p>
        </w:tc>
        <w:tc>
          <w:tcPr>
            <w:tcW w:w="4673" w:type="dxa"/>
          </w:tcPr>
          <w:p w14:paraId="58A93A84" w14:textId="7F94DB0E" w:rsidR="00D40106" w:rsidRPr="00371A77" w:rsidRDefault="005B61F6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Fonts w:ascii="Times New Roman" w:hAnsi="Times New Roman" w:cs="Times New Roman"/>
                <w:sz w:val="24"/>
                <w:szCs w:val="24"/>
              </w:rPr>
              <w:t>Решение вопрос</w:t>
            </w:r>
            <w:r w:rsidR="00EC0424" w:rsidRPr="00371A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71A7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миграционной политики </w:t>
            </w:r>
          </w:p>
        </w:tc>
      </w:tr>
      <w:tr w:rsidR="00D40106" w:rsidRPr="00371A77" w14:paraId="6051AC80" w14:textId="77777777" w:rsidTr="00EC0424">
        <w:tc>
          <w:tcPr>
            <w:tcW w:w="5528" w:type="dxa"/>
          </w:tcPr>
          <w:p w14:paraId="2398E205" w14:textId="1921D632" w:rsidR="00D40106" w:rsidRPr="00371A77" w:rsidRDefault="005B61F6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Fonts w:ascii="Times New Roman" w:hAnsi="Times New Roman" w:cs="Times New Roman"/>
                <w:sz w:val="24"/>
                <w:szCs w:val="24"/>
              </w:rPr>
              <w:t>Отражение различных реалий стран происхождения, транзита и назначения</w:t>
            </w:r>
          </w:p>
        </w:tc>
        <w:tc>
          <w:tcPr>
            <w:tcW w:w="4673" w:type="dxa"/>
          </w:tcPr>
          <w:p w14:paraId="3B239D2D" w14:textId="5C96B8FA" w:rsidR="00D40106" w:rsidRPr="00371A77" w:rsidRDefault="00EC0424" w:rsidP="00371A7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77">
              <w:rPr>
                <w:rFonts w:ascii="Times New Roman" w:hAnsi="Times New Roman" w:cs="Times New Roman"/>
                <w:sz w:val="24"/>
                <w:szCs w:val="24"/>
              </w:rPr>
              <w:t xml:space="preserve">Оценка влияния </w:t>
            </w:r>
            <w:r w:rsidR="0032105A" w:rsidRPr="00371A7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миграционной политики </w:t>
            </w:r>
          </w:p>
        </w:tc>
      </w:tr>
    </w:tbl>
    <w:p w14:paraId="317300A5" w14:textId="690B53AA" w:rsidR="00D40106" w:rsidRPr="00371A77" w:rsidRDefault="00D40106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82BE4" w14:textId="77777777" w:rsidR="00EC0424" w:rsidRPr="00371A77" w:rsidRDefault="0032105A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b/>
          <w:sz w:val="24"/>
          <w:szCs w:val="24"/>
        </w:rPr>
        <w:t>Основные понятия:</w:t>
      </w:r>
    </w:p>
    <w:p w14:paraId="34215F6B" w14:textId="1970591D" w:rsidR="0032105A" w:rsidRPr="00371A77" w:rsidRDefault="0032105A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Цель 10.7 ЦУР имеет широкий охват, и многие, но не все, термины четко определены. Глоссарий МОМ по миграции</w:t>
      </w:r>
      <w:r w:rsidRPr="00371A77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дает определение ключевых понятий, таких как упорядоченная и регулярная миграция, но не других, таких как безопасная и ответственная миграция. Согласно Глоссарию, под организованной миграцией понимается</w:t>
      </w:r>
      <w:r w:rsidR="00EC0424"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«перемещение человека из его/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ее обычного места жительства в соответствии с законами и правилами, регулирующими выезд из страны происхождения и поездки, транзит и въе</w:t>
      </w:r>
      <w:proofErr w:type="gramStart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зд в стр</w:t>
      </w:r>
      <w:proofErr w:type="gramEnd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ану пребывания». Регулярный характер определяется как «миграция, которая происходит по признанным легальным каналам».</w:t>
      </w:r>
    </w:p>
    <w:p w14:paraId="65998C83" w14:textId="0C2042E9" w:rsidR="00EC0424" w:rsidRPr="00371A77" w:rsidRDefault="0032105A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Хотя понятие «</w:t>
      </w:r>
      <w:r w:rsidR="00EC0424" w:rsidRPr="00371A77">
        <w:rPr>
          <w:rStyle w:val="tlid-translation"/>
          <w:rFonts w:ascii="Times New Roman" w:hAnsi="Times New Roman" w:cs="Times New Roman"/>
          <w:sz w:val="24"/>
          <w:szCs w:val="24"/>
        </w:rPr>
        <w:t>хорошо продуманной миграционной политики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» явно не определено, согласно Глоссарию МОМ, оно включено в ссылки на управление миграцией, </w:t>
      </w:r>
      <w:r w:rsidR="00EC0424" w:rsidRPr="00371A77">
        <w:rPr>
          <w:rStyle w:val="tlid-translation"/>
          <w:rFonts w:ascii="Times New Roman" w:hAnsi="Times New Roman" w:cs="Times New Roman"/>
          <w:sz w:val="24"/>
          <w:szCs w:val="24"/>
        </w:rPr>
        <w:t>регулирование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миграци</w:t>
      </w:r>
      <w:r w:rsidR="00EC0424" w:rsidRPr="00371A77">
        <w:rPr>
          <w:rStyle w:val="tlid-translation"/>
          <w:rFonts w:ascii="Times New Roman" w:hAnsi="Times New Roman" w:cs="Times New Roman"/>
          <w:sz w:val="24"/>
          <w:szCs w:val="24"/>
        </w:rPr>
        <w:t>и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и упрощенную миграцию. Управление миграцией относится к запланированному подходу к разработке политики, а также к законодательным и административным ответам на ключевые вопросы миграции. </w:t>
      </w:r>
      <w:r w:rsidR="00EC0424" w:rsidRPr="00371A77">
        <w:rPr>
          <w:rStyle w:val="tlid-translation"/>
          <w:rFonts w:ascii="Times New Roman" w:hAnsi="Times New Roman" w:cs="Times New Roman"/>
          <w:sz w:val="24"/>
          <w:szCs w:val="24"/>
        </w:rPr>
        <w:t>Регулирование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миграци</w:t>
      </w:r>
      <w:r w:rsidR="00EC0424" w:rsidRPr="00371A77">
        <w:rPr>
          <w:rStyle w:val="tlid-translation"/>
          <w:rFonts w:ascii="Times New Roman" w:hAnsi="Times New Roman" w:cs="Times New Roman"/>
          <w:sz w:val="24"/>
          <w:szCs w:val="24"/>
        </w:rPr>
        <w:t>и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определяется как система институтов, правовых рамок, механизмов и практик, направленных на регулирование миграции и защиту мигрантов. Облегченная миграция означает стимулирование или поощрение регулярной миграции, например, посредством упрощенного процесса подачи заявления на визу.</w:t>
      </w:r>
    </w:p>
    <w:p w14:paraId="06177E76" w14:textId="77777777" w:rsidR="001D08FA" w:rsidRDefault="001D08FA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3E73DB28" w14:textId="30DAD984" w:rsidR="00EC0424" w:rsidRPr="00371A77" w:rsidRDefault="00EC0424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14:paraId="729593B2" w14:textId="375493CE" w:rsidR="0032105A" w:rsidRPr="00371A77" w:rsidRDefault="0032105A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Разработка синтетического надежного индикатора с охватом и масштабом цели 10.7, сформулированной в Повестке дня в области устойчивого развития на период до 2030 года, является сложной задачей. Как со</w:t>
      </w:r>
      <w:r w:rsidR="008F6B04" w:rsidRPr="00371A77">
        <w:rPr>
          <w:rStyle w:val="tlid-translation"/>
          <w:rFonts w:ascii="Times New Roman" w:hAnsi="Times New Roman" w:cs="Times New Roman"/>
          <w:sz w:val="24"/>
          <w:szCs w:val="24"/>
        </w:rPr>
        <w:t>-кураторы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8F6B04" w:rsidRPr="00371A77">
        <w:rPr>
          <w:rStyle w:val="tlid-translation"/>
          <w:rFonts w:ascii="Times New Roman" w:hAnsi="Times New Roman" w:cs="Times New Roman"/>
          <w:sz w:val="24"/>
          <w:szCs w:val="24"/>
        </w:rPr>
        <w:t>показателя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10.7.2, ДЭСВ ООН и МОМ признают, что этот </w:t>
      </w:r>
      <w:r w:rsidR="008F6B04" w:rsidRPr="00371A77">
        <w:rPr>
          <w:rStyle w:val="tlid-translation"/>
          <w:rFonts w:ascii="Times New Roman" w:hAnsi="Times New Roman" w:cs="Times New Roman"/>
          <w:sz w:val="24"/>
          <w:szCs w:val="24"/>
        </w:rPr>
        <w:t>показатель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не является ни ожидаемым, ни предназначенным для т</w:t>
      </w:r>
      <w:r w:rsidR="008F6B04" w:rsidRPr="00371A77">
        <w:rPr>
          <w:rStyle w:val="tlid-translation"/>
          <w:rFonts w:ascii="Times New Roman" w:hAnsi="Times New Roman" w:cs="Times New Roman"/>
          <w:sz w:val="24"/>
          <w:szCs w:val="24"/>
        </w:rPr>
        <w:t>ого, чтобы быть всеобъемлющим (структура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2); отсюда важность других дополнительных инструментов, таких как проект МОМ по </w:t>
      </w:r>
      <w:r w:rsidR="008F6B04" w:rsidRPr="00371A77">
        <w:rPr>
          <w:rStyle w:val="tlid-translation"/>
          <w:rFonts w:ascii="Times New Roman" w:hAnsi="Times New Roman" w:cs="Times New Roman"/>
          <w:sz w:val="24"/>
          <w:szCs w:val="24"/>
        </w:rPr>
        <w:t>показателям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управления миграцией (MGI)</w:t>
      </w:r>
      <w:r w:rsidRPr="00371A77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14:paraId="16696E1D" w14:textId="77777777" w:rsidR="00781D2D" w:rsidRPr="002A6775" w:rsidRDefault="00781D2D" w:rsidP="00781D2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5B21F4E" w14:textId="77777777" w:rsidR="00781D2D" w:rsidRPr="002A6775" w:rsidRDefault="00781D2D" w:rsidP="00781D2D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Методология </w:t>
      </w:r>
    </w:p>
    <w:p w14:paraId="7D67EC31" w14:textId="77777777" w:rsidR="00781D2D" w:rsidRPr="002A6775" w:rsidRDefault="00781D2D" w:rsidP="00781D2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2DD4E128" w14:textId="77777777" w:rsidR="00EC0424" w:rsidRPr="001D08FA" w:rsidRDefault="0032105A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8FA">
        <w:rPr>
          <w:rStyle w:val="tlid-translation"/>
          <w:rFonts w:ascii="Times New Roman" w:hAnsi="Times New Roman" w:cs="Times New Roman"/>
          <w:b/>
          <w:sz w:val="24"/>
          <w:szCs w:val="24"/>
        </w:rPr>
        <w:t>Метод расчета:</w:t>
      </w:r>
    </w:p>
    <w:p w14:paraId="4CE0F99C" w14:textId="77777777" w:rsidR="008F6B04" w:rsidRDefault="008F6B04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Показатель</w:t>
      </w:r>
      <w:r w:rsidR="0032105A"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включает в себя 30 подкатегорий 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по 6 вопросам/областям</w:t>
      </w:r>
      <w:r w:rsidR="0032105A"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. Все подкатегории, кроме тех, которые относятся к 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области</w:t>
      </w:r>
      <w:r w:rsidR="0032105A"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1, имеют дихотомические ответы «Да</w:t>
      </w:r>
      <w:proofErr w:type="gramStart"/>
      <w:r w:rsidR="0032105A"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/ Н</w:t>
      </w:r>
      <w:proofErr w:type="gramEnd"/>
      <w:r w:rsidR="0032105A"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ет», </w:t>
      </w:r>
      <w:r w:rsidR="0032105A" w:rsidRPr="00371A77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 xml:space="preserve">закодированные «1» для «Да» и «0» для «Нет». Для подкатегорий в 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области</w:t>
      </w:r>
      <w:r w:rsidR="0032105A"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1 существует три возможных ответа: «Да, независимо от иммиграционного статуса», код «1»; «Да, только для лиц с легальным иммиграционным статусом», код «0,5»; и «Нет» с кодировкой «0».</w:t>
      </w:r>
      <w:r w:rsidR="0032105A" w:rsidRPr="00371A77">
        <w:rPr>
          <w:rFonts w:ascii="Times New Roman" w:hAnsi="Times New Roman" w:cs="Times New Roman"/>
          <w:sz w:val="24"/>
          <w:szCs w:val="24"/>
        </w:rPr>
        <w:br/>
      </w:r>
      <w:r w:rsidR="0032105A" w:rsidRPr="00371A77">
        <w:rPr>
          <w:rStyle w:val="tlid-translation"/>
          <w:rFonts w:ascii="Times New Roman" w:hAnsi="Times New Roman" w:cs="Times New Roman"/>
          <w:sz w:val="24"/>
          <w:szCs w:val="24"/>
        </w:rPr>
        <w:t>Для каждо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й области</w:t>
      </w:r>
      <w:r w:rsidR="0032105A"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вычислительная методология представ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ляет собой невзвешенное среднее </w:t>
      </w:r>
      <w:r w:rsidR="0032105A" w:rsidRPr="00371A77">
        <w:rPr>
          <w:rStyle w:val="tlid-translation"/>
          <w:rFonts w:ascii="Times New Roman" w:hAnsi="Times New Roman" w:cs="Times New Roman"/>
          <w:sz w:val="24"/>
          <w:szCs w:val="24"/>
        </w:rPr>
        <w:t>значение подкатегорий в каждо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й</w:t>
      </w:r>
      <w:r w:rsidR="0032105A"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области</w:t>
      </w:r>
      <w:r w:rsidR="0032105A" w:rsidRPr="00371A77">
        <w:rPr>
          <w:rStyle w:val="tlid-translation"/>
          <w:rFonts w:ascii="Times New Roman" w:hAnsi="Times New Roman" w:cs="Times New Roman"/>
          <w:sz w:val="24"/>
          <w:szCs w:val="24"/>
        </w:rPr>
        <w:t>:</w:t>
      </w:r>
    </w:p>
    <w:p w14:paraId="0445AF04" w14:textId="74E3FDCE" w:rsidR="001D08FA" w:rsidRPr="001D08FA" w:rsidRDefault="001D08FA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i/>
          <w:sz w:val="28"/>
          <w:szCs w:val="28"/>
        </w:rPr>
      </w:pPr>
      <w:r w:rsidRPr="001D08FA">
        <w:rPr>
          <w:rStyle w:val="tlid-translation"/>
          <w:rFonts w:ascii="Times New Roman" w:hAnsi="Times New Roman" w:cs="Times New Roman"/>
          <w:i/>
          <w:sz w:val="32"/>
          <w:szCs w:val="32"/>
          <w:lang w:val="en-US"/>
        </w:rPr>
        <w:t>D</w:t>
      </w:r>
      <w:r w:rsidRPr="001D08FA">
        <w:rPr>
          <w:rStyle w:val="tlid-translation"/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i</w:t>
      </w:r>
      <w:r w:rsidRPr="001D08FA">
        <w:rPr>
          <w:rStyle w:val="tlid-translation"/>
          <w:rFonts w:ascii="Times New Roman" w:hAnsi="Times New Roman" w:cs="Times New Roman"/>
          <w:i/>
          <w:sz w:val="32"/>
          <w:szCs w:val="32"/>
          <w:vertAlign w:val="subscript"/>
        </w:rPr>
        <w:t xml:space="preserve"> </w:t>
      </w:r>
      <w:r w:rsidRPr="001D08FA">
        <w:rPr>
          <w:rStyle w:val="tlid-translation"/>
          <w:rFonts w:ascii="Times New Roman" w:hAnsi="Times New Roman" w:cs="Times New Roman"/>
          <w:i/>
          <w:sz w:val="28"/>
          <w:szCs w:val="28"/>
          <w:vertAlign w:val="subscript"/>
        </w:rPr>
        <w:t xml:space="preserve">= </w:t>
      </w:r>
      <m:oMath>
        <m:f>
          <m:fPr>
            <m:ctrlPr>
              <w:rPr>
                <w:rStyle w:val="tlid-translation"/>
                <w:rFonts w:ascii="Cambria Math" w:hAnsi="Cambria Math" w:cs="Times New Roman"/>
                <w:i/>
                <w:sz w:val="32"/>
                <w:szCs w:val="32"/>
                <w:vertAlign w:val="subscript"/>
                <w:lang w:val="en-US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Style w:val="tlid-translation"/>
                    <w:rFonts w:ascii="Cambria Math" w:hAnsi="Cambria Math" w:cs="Times New Roman"/>
                    <w:i/>
                    <w:sz w:val="32"/>
                    <w:szCs w:val="32"/>
                    <w:vertAlign w:val="subscript"/>
                    <w:lang w:val="en-US"/>
                  </w:rPr>
                </m:ctrlPr>
              </m:naryPr>
              <m:sub>
                <m:r>
                  <w:rPr>
                    <w:rStyle w:val="tlid-translation"/>
                    <w:rFonts w:ascii="Cambria Math" w:hAnsi="Cambria Math" w:cs="Times New Roman"/>
                    <w:sz w:val="32"/>
                    <w:szCs w:val="32"/>
                    <w:vertAlign w:val="subscript"/>
                    <w:lang w:val="en-US"/>
                  </w:rPr>
                  <m:t>j</m:t>
                </m:r>
              </m:sub>
              <m:sup>
                <m:r>
                  <w:rPr>
                    <w:rStyle w:val="tlid-translation"/>
                    <w:rFonts w:ascii="Cambria Math" w:hAnsi="Cambria Math" w:cs="Times New Roman"/>
                    <w:sz w:val="32"/>
                    <w:szCs w:val="32"/>
                    <w:vertAlign w:val="subscript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Style w:val="tlid-translation"/>
                        <w:rFonts w:ascii="Cambria Math" w:hAnsi="Cambria Math" w:cs="Times New Roman"/>
                        <w:i/>
                        <w:sz w:val="32"/>
                        <w:szCs w:val="32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Style w:val="tlid-translation"/>
                        <w:rFonts w:ascii="Cambria Math" w:hAnsi="Cambria Math" w:cs="Times New Roman"/>
                        <w:sz w:val="32"/>
                        <w:szCs w:val="32"/>
                        <w:vertAlign w:val="subscript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Style w:val="tlid-translation"/>
                        <w:rFonts w:ascii="Cambria Math" w:hAnsi="Cambria Math" w:cs="Times New Roman"/>
                        <w:sz w:val="32"/>
                        <w:szCs w:val="32"/>
                        <w:vertAlign w:val="subscript"/>
                        <w:lang w:val="en-US"/>
                      </w:rPr>
                      <m:t>ji</m:t>
                    </m:r>
                  </m:sub>
                </m:sSub>
              </m:e>
            </m:nary>
          </m:num>
          <m:den>
            <m:r>
              <w:rPr>
                <w:rStyle w:val="tlid-translation"/>
                <w:rFonts w:ascii="Cambria Math" w:hAnsi="Cambria Math" w:cs="Times New Roman"/>
                <w:sz w:val="32"/>
                <w:szCs w:val="32"/>
                <w:vertAlign w:val="subscript"/>
                <w:lang w:val="en-US"/>
              </w:rPr>
              <m:t>n</m:t>
            </m:r>
          </m:den>
        </m:f>
      </m:oMath>
      <w:r w:rsidRPr="001D08FA">
        <w:rPr>
          <w:rStyle w:val="tlid-translation"/>
          <w:rFonts w:ascii="Times New Roman" w:eastAsiaTheme="minorEastAsia" w:hAnsi="Times New Roman" w:cs="Times New Roman"/>
          <w:i/>
          <w:sz w:val="32"/>
          <w:szCs w:val="32"/>
          <w:vertAlign w:val="subscript"/>
        </w:rPr>
        <w:t>*100</w:t>
      </w:r>
    </w:p>
    <w:p w14:paraId="6A47AF08" w14:textId="77777777" w:rsidR="001D08FA" w:rsidRPr="001D08FA" w:rsidRDefault="0032105A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Где </w:t>
      </w:r>
      <w:r w:rsidRPr="00371A77">
        <w:rPr>
          <w:rStyle w:val="tlid-translation"/>
          <w:rFonts w:ascii="Cambria Math" w:hAnsi="Cambria Math" w:cs="Cambria Math"/>
          <w:sz w:val="24"/>
          <w:szCs w:val="24"/>
        </w:rPr>
        <w:t>𝐷</w:t>
      </w:r>
      <w:r w:rsidRPr="001D08FA">
        <w:rPr>
          <w:rStyle w:val="tlid-translation"/>
          <w:rFonts w:ascii="Cambria Math" w:hAnsi="Cambria Math" w:cs="Cambria Math"/>
          <w:sz w:val="24"/>
          <w:szCs w:val="24"/>
          <w:vertAlign w:val="subscript"/>
        </w:rPr>
        <w:t>𝑖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относится к </w:t>
      </w:r>
      <w:r w:rsidR="008F6B04" w:rsidRPr="00371A77">
        <w:rPr>
          <w:rStyle w:val="tlid-translation"/>
          <w:rFonts w:ascii="Times New Roman" w:hAnsi="Times New Roman" w:cs="Times New Roman"/>
          <w:sz w:val="24"/>
          <w:szCs w:val="24"/>
        </w:rPr>
        <w:t>области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i; </w:t>
      </w:r>
      <m:oMath>
        <m:nary>
          <m:naryPr>
            <m:chr m:val="∑"/>
            <m:limLoc m:val="subSup"/>
            <m:ctrlPr>
              <w:rPr>
                <w:rStyle w:val="tlid-translation"/>
                <w:rFonts w:ascii="Cambria Math" w:hAnsi="Cambria Math" w:cs="Times New Roman"/>
                <w:i/>
                <w:sz w:val="32"/>
                <w:szCs w:val="32"/>
                <w:vertAlign w:val="subscript"/>
                <w:lang w:val="en-US"/>
              </w:rPr>
            </m:ctrlPr>
          </m:naryPr>
          <m:sub>
            <m:r>
              <w:rPr>
                <w:rStyle w:val="tlid-translation"/>
                <w:rFonts w:ascii="Cambria Math" w:hAnsi="Cambria Math" w:cs="Times New Roman"/>
                <w:sz w:val="32"/>
                <w:szCs w:val="32"/>
                <w:vertAlign w:val="subscript"/>
                <w:lang w:val="en-US"/>
              </w:rPr>
              <m:t>j</m:t>
            </m:r>
          </m:sub>
          <m:sup>
            <m:r>
              <w:rPr>
                <w:rStyle w:val="tlid-translation"/>
                <w:rFonts w:ascii="Cambria Math" w:hAnsi="Cambria Math" w:cs="Times New Roman"/>
                <w:sz w:val="32"/>
                <w:szCs w:val="32"/>
                <w:vertAlign w:val="subscript"/>
                <w:lang w:val="en-US"/>
              </w:rPr>
              <m:t>n</m:t>
            </m:r>
          </m:sup>
          <m:e>
            <m:sSub>
              <m:sSubPr>
                <m:ctrlPr>
                  <w:rPr>
                    <w:rStyle w:val="tlid-translation"/>
                    <w:rFonts w:ascii="Cambria Math" w:hAnsi="Cambria Math" w:cs="Times New Roman"/>
                    <w:i/>
                    <w:sz w:val="32"/>
                    <w:szCs w:val="32"/>
                    <w:vertAlign w:val="subscript"/>
                    <w:lang w:val="en-US"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 w:cs="Times New Roman"/>
                    <w:sz w:val="32"/>
                    <w:szCs w:val="32"/>
                    <w:vertAlign w:val="subscript"/>
                    <w:lang w:val="en-US"/>
                  </w:rPr>
                  <m:t>S</m:t>
                </m:r>
              </m:e>
              <m:sub>
                <m:r>
                  <w:rPr>
                    <w:rStyle w:val="tlid-translation"/>
                    <w:rFonts w:ascii="Cambria Math" w:hAnsi="Cambria Math" w:cs="Times New Roman"/>
                    <w:sz w:val="32"/>
                    <w:szCs w:val="32"/>
                    <w:vertAlign w:val="subscript"/>
                    <w:lang w:val="en-US"/>
                  </w:rPr>
                  <m:t>ji</m:t>
                </m:r>
              </m:sub>
            </m:sSub>
          </m:e>
        </m:nary>
      </m:oMath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относится к сумме подкатегорий j в области i; и n относится к общему количеству подкатегорий в каждо</w:t>
      </w:r>
      <w:r w:rsidR="008F6B04" w:rsidRPr="00371A77">
        <w:rPr>
          <w:rStyle w:val="tlid-translation"/>
          <w:rFonts w:ascii="Times New Roman" w:hAnsi="Times New Roman" w:cs="Times New Roman"/>
          <w:sz w:val="24"/>
          <w:szCs w:val="24"/>
        </w:rPr>
        <w:t>й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8F6B04" w:rsidRPr="00371A77">
        <w:rPr>
          <w:rStyle w:val="tlid-translation"/>
          <w:rFonts w:ascii="Times New Roman" w:hAnsi="Times New Roman" w:cs="Times New Roman"/>
          <w:sz w:val="24"/>
          <w:szCs w:val="24"/>
        </w:rPr>
        <w:t>области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. Результаты представлены в процентах. </w:t>
      </w:r>
      <w:proofErr w:type="gramStart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Для каждо</w:t>
      </w:r>
      <w:r w:rsidR="008F6B04" w:rsidRPr="00371A77">
        <w:rPr>
          <w:rStyle w:val="tlid-translation"/>
          <w:rFonts w:ascii="Times New Roman" w:hAnsi="Times New Roman" w:cs="Times New Roman"/>
          <w:sz w:val="24"/>
          <w:szCs w:val="24"/>
        </w:rPr>
        <w:t>й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8F6B04" w:rsidRPr="00371A77">
        <w:rPr>
          <w:rStyle w:val="tlid-translation"/>
          <w:rFonts w:ascii="Times New Roman" w:hAnsi="Times New Roman" w:cs="Times New Roman"/>
          <w:sz w:val="24"/>
          <w:szCs w:val="24"/>
        </w:rPr>
        <w:t>области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значения варьируются от минимум 0 до максимум 100 процентов.</w:t>
      </w:r>
      <w:proofErr w:type="gramEnd"/>
    </w:p>
    <w:p w14:paraId="06DEFA65" w14:textId="77777777" w:rsidR="001D08FA" w:rsidRPr="001D08FA" w:rsidRDefault="0032105A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Общий синтетический показатель 10.7.2 получается путем вычисления невзвешенного среднего значения 30 подкатегорий в шести областях </w:t>
      </w:r>
      <w:proofErr w:type="gramStart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с</w:t>
      </w:r>
      <w:proofErr w:type="gramEnd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значениями в диапазоне от 0 до 100 процентов.</w:t>
      </w:r>
    </w:p>
    <w:p w14:paraId="79065BD6" w14:textId="33389762" w:rsidR="0032105A" w:rsidRPr="00371A77" w:rsidRDefault="0032105A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Для простоты интерпретации и обобщения </w:t>
      </w:r>
      <w:proofErr w:type="gramStart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полученные средние значения затем классифицируются следующим образом: значения менее 40 процентов кодируются как «Требуется дальнейший прогресс»; значения от 40% до 80% кодируются как «Частично соответствует», а значения 80% и более кодируются как «Соответствует или полностью соответствует».</w:t>
      </w:r>
    </w:p>
    <w:p w14:paraId="13627427" w14:textId="77777777" w:rsidR="001D08FA" w:rsidRPr="00781D2D" w:rsidRDefault="001D08FA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32F0AE21" w14:textId="77777777" w:rsidR="001D08FA" w:rsidRPr="00781D2D" w:rsidRDefault="008F6B04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b/>
          <w:sz w:val="24"/>
          <w:szCs w:val="24"/>
        </w:rPr>
        <w:t>Дезагрегация:</w:t>
      </w:r>
    </w:p>
    <w:p w14:paraId="384DE37A" w14:textId="5654EF05" w:rsidR="00AB2823" w:rsidRPr="00371A77" w:rsidRDefault="00AB2823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Шесть областей политики: </w:t>
      </w:r>
    </w:p>
    <w:p w14:paraId="268B92CF" w14:textId="7D596199" w:rsidR="00AB2823" w:rsidRPr="00371A77" w:rsidRDefault="00AB2823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(i) права мигрантов; </w:t>
      </w:r>
    </w:p>
    <w:p w14:paraId="7B074C22" w14:textId="77777777" w:rsidR="00AB2823" w:rsidRPr="00371A77" w:rsidRDefault="00AB2823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u w:val="single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(</w:t>
      </w:r>
      <w:proofErr w:type="spellStart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ii</w:t>
      </w:r>
      <w:proofErr w:type="spellEnd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) общегосударственная / основанная на фактических данных политика; </w:t>
      </w:r>
    </w:p>
    <w:p w14:paraId="4CEC91F5" w14:textId="77777777" w:rsidR="00AB2823" w:rsidRPr="00371A77" w:rsidRDefault="00AB2823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u w:val="single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(</w:t>
      </w:r>
      <w:proofErr w:type="spellStart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iii</w:t>
      </w:r>
      <w:proofErr w:type="spellEnd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) сотрудничество и партнерство; </w:t>
      </w:r>
    </w:p>
    <w:p w14:paraId="166A15D6" w14:textId="77777777" w:rsidR="00AB2823" w:rsidRPr="00371A77" w:rsidRDefault="00AB2823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u w:val="single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(</w:t>
      </w:r>
      <w:proofErr w:type="spellStart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iv</w:t>
      </w:r>
      <w:proofErr w:type="spellEnd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) социально-экономическое благополучие; </w:t>
      </w:r>
    </w:p>
    <w:p w14:paraId="3930B82D" w14:textId="5D1B9A52" w:rsidR="00AB2823" w:rsidRPr="00371A77" w:rsidRDefault="00AB2823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u w:val="single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(v) </w:t>
      </w:r>
      <w:r w:rsidR="008F6B04" w:rsidRPr="00371A77">
        <w:rPr>
          <w:rStyle w:val="tlid-translation"/>
          <w:rFonts w:ascii="Times New Roman" w:hAnsi="Times New Roman" w:cs="Times New Roman"/>
          <w:sz w:val="24"/>
          <w:szCs w:val="24"/>
        </w:rPr>
        <w:t>оперативность измерения кризисов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; и </w:t>
      </w:r>
    </w:p>
    <w:p w14:paraId="24179085" w14:textId="6902155A" w:rsidR="00AB2823" w:rsidRPr="00371A77" w:rsidRDefault="00AB2823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(</w:t>
      </w:r>
      <w:proofErr w:type="spellStart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vi</w:t>
      </w:r>
      <w:proofErr w:type="spellEnd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) безопасная, упорядоченная и регулярная миграция.</w:t>
      </w:r>
    </w:p>
    <w:p w14:paraId="430EADC5" w14:textId="77777777" w:rsidR="001D08FA" w:rsidRPr="00781D2D" w:rsidRDefault="001D08FA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7C8BE9AC" w14:textId="3E95D6CF" w:rsidR="008F6B04" w:rsidRPr="00371A77" w:rsidRDefault="00AB2823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Обработка </w:t>
      </w:r>
      <w:r w:rsidR="008F6B04" w:rsidRPr="00371A77">
        <w:rPr>
          <w:rStyle w:val="tlid-translation"/>
          <w:rFonts w:ascii="Times New Roman" w:hAnsi="Times New Roman" w:cs="Times New Roman"/>
          <w:b/>
          <w:sz w:val="24"/>
          <w:szCs w:val="24"/>
        </w:rPr>
        <w:t>отсутствующих</w:t>
      </w:r>
      <w:r w:rsidRPr="00371A77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значений:</w:t>
      </w:r>
    </w:p>
    <w:p w14:paraId="6E3089C9" w14:textId="0A3C548D" w:rsidR="008F6B04" w:rsidRPr="001D08FA" w:rsidRDefault="008F6B04" w:rsidP="001D08FA">
      <w:pPr>
        <w:pStyle w:val="a7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D08FA">
        <w:rPr>
          <w:rStyle w:val="tlid-translation"/>
          <w:rFonts w:ascii="Times New Roman" w:hAnsi="Times New Roman" w:cs="Times New Roman"/>
          <w:b/>
          <w:color w:val="0070C0"/>
          <w:sz w:val="24"/>
          <w:szCs w:val="24"/>
        </w:rPr>
        <w:lastRenderedPageBreak/>
        <w:t>Н</w:t>
      </w:r>
      <w:r w:rsidR="00AB2823" w:rsidRPr="001D08FA">
        <w:rPr>
          <w:rStyle w:val="tlid-translation"/>
          <w:rFonts w:ascii="Times New Roman" w:hAnsi="Times New Roman" w:cs="Times New Roman"/>
          <w:b/>
          <w:color w:val="0070C0"/>
          <w:sz w:val="24"/>
          <w:szCs w:val="24"/>
        </w:rPr>
        <w:t>а уровне страны</w:t>
      </w:r>
    </w:p>
    <w:p w14:paraId="3501D568" w14:textId="77777777" w:rsidR="008F6B04" w:rsidRPr="00371A77" w:rsidRDefault="00AB2823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Не вменяется.</w:t>
      </w:r>
    </w:p>
    <w:p w14:paraId="1AA08E36" w14:textId="66EF9A81" w:rsidR="008F6B04" w:rsidRPr="001D08FA" w:rsidRDefault="008F6B04" w:rsidP="001D08FA">
      <w:pPr>
        <w:pStyle w:val="a7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D08FA">
        <w:rPr>
          <w:rStyle w:val="tlid-translation"/>
          <w:rFonts w:ascii="Times New Roman" w:hAnsi="Times New Roman" w:cs="Times New Roman"/>
          <w:b/>
          <w:color w:val="0070C0"/>
          <w:sz w:val="24"/>
          <w:szCs w:val="24"/>
        </w:rPr>
        <w:t>Н</w:t>
      </w:r>
      <w:r w:rsidR="00AB2823" w:rsidRPr="001D08FA">
        <w:rPr>
          <w:rStyle w:val="tlid-translation"/>
          <w:rFonts w:ascii="Times New Roman" w:hAnsi="Times New Roman" w:cs="Times New Roman"/>
          <w:b/>
          <w:color w:val="0070C0"/>
          <w:sz w:val="24"/>
          <w:szCs w:val="24"/>
        </w:rPr>
        <w:t>а региональном и глобальном уровнях</w:t>
      </w:r>
    </w:p>
    <w:p w14:paraId="290E0B2D" w14:textId="77777777" w:rsidR="008F6B04" w:rsidRDefault="00AB2823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Не вменяется.</w:t>
      </w:r>
    </w:p>
    <w:p w14:paraId="2D3BDC6F" w14:textId="77777777" w:rsidR="001D08FA" w:rsidRPr="001D08FA" w:rsidRDefault="001D08FA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900EFB" w14:textId="77777777" w:rsidR="008F6B04" w:rsidRPr="00371A77" w:rsidRDefault="00AB2823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b/>
          <w:sz w:val="24"/>
          <w:szCs w:val="24"/>
        </w:rPr>
        <w:t>Региональные показатели: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</w:p>
    <w:p w14:paraId="2934CA8E" w14:textId="77777777" w:rsidR="008F6B04" w:rsidRPr="00371A77" w:rsidRDefault="008F6B04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Р</w:t>
      </w:r>
      <w:r w:rsidR="00AB2823" w:rsidRPr="00371A77">
        <w:rPr>
          <w:rStyle w:val="tlid-translation"/>
          <w:rFonts w:ascii="Times New Roman" w:hAnsi="Times New Roman" w:cs="Times New Roman"/>
          <w:sz w:val="24"/>
          <w:szCs w:val="24"/>
        </w:rPr>
        <w:t>егиональные и глобальные совокупные расчеты будут представлять собой долю стран в этом регионе (или глобально), для которых цель 10.7 «Треб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ует</w:t>
      </w:r>
      <w:r w:rsidR="00AB2823"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дальнейшего прогресса», «Частично выполн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яется</w:t>
      </w:r>
      <w:r w:rsidR="00AB2823" w:rsidRPr="00371A77">
        <w:rPr>
          <w:rStyle w:val="tlid-translation"/>
          <w:rFonts w:ascii="Times New Roman" w:hAnsi="Times New Roman" w:cs="Times New Roman"/>
          <w:sz w:val="24"/>
          <w:szCs w:val="24"/>
        </w:rPr>
        <w:t>» и «Выполн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яется</w:t>
      </w:r>
      <w:r w:rsidR="00AB2823"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или полностью выполн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яется</w:t>
      </w:r>
      <w:r w:rsidR="00AB2823" w:rsidRPr="00371A77">
        <w:rPr>
          <w:rStyle w:val="tlid-translation"/>
          <w:rFonts w:ascii="Times New Roman" w:hAnsi="Times New Roman" w:cs="Times New Roman"/>
          <w:sz w:val="24"/>
          <w:szCs w:val="24"/>
        </w:rPr>
        <w:t>» Данные могут распространяться как по областям, так и по общему синтетическому показателю.</w:t>
      </w:r>
    </w:p>
    <w:p w14:paraId="6C845820" w14:textId="77777777" w:rsidR="001D08FA" w:rsidRPr="00781D2D" w:rsidRDefault="001D08FA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0C2F75A0" w14:textId="77777777" w:rsidR="008F6B04" w:rsidRPr="00371A77" w:rsidRDefault="00AB2823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Источники расхождений: </w:t>
      </w:r>
    </w:p>
    <w:p w14:paraId="17788957" w14:textId="4C9C6B0E" w:rsidR="00765DFB" w:rsidRPr="00371A77" w:rsidRDefault="00765DFB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Расхождений не предвидится, поскольку данные собираются в рамках проведенного организацией Объединенных Наций опроса правительств по вопросам народонаселения и развития («запрос») непосредственно от правительств.</w:t>
      </w:r>
    </w:p>
    <w:p w14:paraId="252AD340" w14:textId="77777777" w:rsidR="001D08FA" w:rsidRPr="00781D2D" w:rsidRDefault="001D08FA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14:paraId="021128DC" w14:textId="2C35C09B" w:rsidR="008F6B04" w:rsidRPr="00371A77" w:rsidRDefault="00AB2823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b/>
          <w:sz w:val="24"/>
          <w:szCs w:val="24"/>
        </w:rPr>
        <w:t>Методы и руководства, доступные странам для сбора данных на национальном уровне:</w:t>
      </w:r>
    </w:p>
    <w:p w14:paraId="362BF213" w14:textId="67593784" w:rsidR="008F6B04" w:rsidRPr="001D08FA" w:rsidRDefault="00AB2823" w:rsidP="001D08FA">
      <w:pPr>
        <w:pStyle w:val="a7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FA">
        <w:rPr>
          <w:rStyle w:val="tlid-translation"/>
          <w:rFonts w:ascii="Times New Roman" w:hAnsi="Times New Roman" w:cs="Times New Roman"/>
          <w:sz w:val="24"/>
          <w:szCs w:val="24"/>
        </w:rPr>
        <w:t>Опросный ли</w:t>
      </w:r>
      <w:proofErr w:type="gramStart"/>
      <w:r w:rsidRPr="001D08FA">
        <w:rPr>
          <w:rStyle w:val="tlid-translation"/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1D08FA">
        <w:rPr>
          <w:rStyle w:val="tlid-translation"/>
          <w:rFonts w:ascii="Times New Roman" w:hAnsi="Times New Roman" w:cs="Times New Roman"/>
          <w:sz w:val="24"/>
          <w:szCs w:val="24"/>
        </w:rPr>
        <w:t>ючает в себя рекомендации, определения и инструкции. ДЭСВ</w:t>
      </w:r>
      <w:r w:rsidR="008F6B04" w:rsidRPr="001D08FA">
        <w:rPr>
          <w:rStyle w:val="tlid-translation"/>
          <w:rFonts w:ascii="Times New Roman" w:hAnsi="Times New Roman" w:cs="Times New Roman"/>
          <w:sz w:val="24"/>
          <w:szCs w:val="24"/>
        </w:rPr>
        <w:t xml:space="preserve"> ООН</w:t>
      </w:r>
      <w:r w:rsidRPr="001D08FA">
        <w:rPr>
          <w:rStyle w:val="tlid-translation"/>
          <w:rFonts w:ascii="Times New Roman" w:hAnsi="Times New Roman" w:cs="Times New Roman"/>
          <w:sz w:val="24"/>
          <w:szCs w:val="24"/>
        </w:rPr>
        <w:t xml:space="preserve">, МОМ и ОЭСР готовы ответить на запросы стран и дать дополнительные разъяснения. Кроме того, МОМ и </w:t>
      </w:r>
      <w:r w:rsidR="008F6B04" w:rsidRPr="001D08FA">
        <w:rPr>
          <w:rStyle w:val="tlid-translation"/>
          <w:rFonts w:ascii="Times New Roman" w:hAnsi="Times New Roman" w:cs="Times New Roman"/>
          <w:sz w:val="24"/>
          <w:szCs w:val="24"/>
        </w:rPr>
        <w:t>ОЭСР определили координаторов/</w:t>
      </w:r>
      <w:proofErr w:type="spellStart"/>
      <w:r w:rsidRPr="001D08FA">
        <w:rPr>
          <w:rStyle w:val="tlid-translation"/>
          <w:rFonts w:ascii="Times New Roman" w:hAnsi="Times New Roman" w:cs="Times New Roman"/>
          <w:sz w:val="24"/>
          <w:szCs w:val="24"/>
        </w:rPr>
        <w:t>страновые</w:t>
      </w:r>
      <w:proofErr w:type="spellEnd"/>
      <w:r w:rsidRPr="001D08FA">
        <w:rPr>
          <w:rStyle w:val="tlid-translation"/>
          <w:rFonts w:ascii="Times New Roman" w:hAnsi="Times New Roman" w:cs="Times New Roman"/>
          <w:sz w:val="24"/>
          <w:szCs w:val="24"/>
        </w:rPr>
        <w:t xml:space="preserve"> отделения, которые могут оказать помощь в проведении </w:t>
      </w:r>
      <w:r w:rsidR="008F6B04" w:rsidRPr="001D08FA">
        <w:rPr>
          <w:rStyle w:val="tlid-translation"/>
          <w:rFonts w:ascii="Times New Roman" w:hAnsi="Times New Roman" w:cs="Times New Roman"/>
          <w:sz w:val="24"/>
          <w:szCs w:val="24"/>
        </w:rPr>
        <w:t>опроса</w:t>
      </w:r>
      <w:r w:rsidRPr="001D08FA">
        <w:rPr>
          <w:rStyle w:val="tlid-translation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D08FA">
        <w:rPr>
          <w:rStyle w:val="tlid-translation"/>
          <w:rFonts w:ascii="Times New Roman" w:hAnsi="Times New Roman" w:cs="Times New Roman"/>
          <w:sz w:val="24"/>
          <w:szCs w:val="24"/>
        </w:rPr>
        <w:t>страновом</w:t>
      </w:r>
      <w:proofErr w:type="spellEnd"/>
      <w:r w:rsidRPr="001D08FA">
        <w:rPr>
          <w:rStyle w:val="tlid-translation"/>
          <w:rFonts w:ascii="Times New Roman" w:hAnsi="Times New Roman" w:cs="Times New Roman"/>
          <w:sz w:val="24"/>
          <w:szCs w:val="24"/>
        </w:rPr>
        <w:t xml:space="preserve"> уровне.</w:t>
      </w:r>
    </w:p>
    <w:p w14:paraId="5A42C2CA" w14:textId="77777777" w:rsidR="008F6B04" w:rsidRPr="001D08FA" w:rsidRDefault="00AB2823" w:rsidP="001D08FA">
      <w:pPr>
        <w:pStyle w:val="a7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FA">
        <w:rPr>
          <w:rStyle w:val="tlid-translation"/>
          <w:rFonts w:ascii="Times New Roman" w:hAnsi="Times New Roman" w:cs="Times New Roman"/>
          <w:sz w:val="24"/>
          <w:szCs w:val="24"/>
        </w:rPr>
        <w:t xml:space="preserve">Никаких новых международных рекомендаций и руководств не предлагается. Как отмечалось в предыдущих параграфах, методология основана на резолюции Совета МОМ, касающейся Механизма управления миграцией, и существующего механизма сбора данных - </w:t>
      </w:r>
      <w:r w:rsidR="008F6B04" w:rsidRPr="001D08FA">
        <w:rPr>
          <w:rStyle w:val="tlid-translation"/>
          <w:rFonts w:ascii="Times New Roman" w:hAnsi="Times New Roman" w:cs="Times New Roman"/>
          <w:sz w:val="24"/>
          <w:szCs w:val="24"/>
        </w:rPr>
        <w:t>опроса</w:t>
      </w:r>
      <w:r w:rsidRPr="001D08FA">
        <w:rPr>
          <w:rStyle w:val="tlid-translation"/>
          <w:rFonts w:ascii="Times New Roman" w:hAnsi="Times New Roman" w:cs="Times New Roman"/>
          <w:sz w:val="24"/>
          <w:szCs w:val="24"/>
        </w:rPr>
        <w:t>, санкционированного Генеральной Ассамблеей ООН.</w:t>
      </w:r>
    </w:p>
    <w:p w14:paraId="41B1F2ED" w14:textId="77777777" w:rsidR="001D08FA" w:rsidRPr="00781D2D" w:rsidRDefault="001D08FA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6D813FE1" w14:textId="4E37A3A3" w:rsidR="008F6B04" w:rsidRPr="00371A77" w:rsidRDefault="00AB2823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b/>
          <w:sz w:val="24"/>
          <w:szCs w:val="24"/>
        </w:rPr>
        <w:t>Гарантия качества</w:t>
      </w:r>
    </w:p>
    <w:p w14:paraId="27C3DE5D" w14:textId="77777777" w:rsidR="00765DFB" w:rsidRPr="001D08FA" w:rsidRDefault="00AB2823" w:rsidP="001D08FA">
      <w:pPr>
        <w:pStyle w:val="a7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D08FA">
        <w:rPr>
          <w:rStyle w:val="tlid-translation"/>
          <w:rFonts w:ascii="Times New Roman" w:hAnsi="Times New Roman" w:cs="Times New Roman"/>
          <w:sz w:val="24"/>
          <w:szCs w:val="24"/>
        </w:rPr>
        <w:t xml:space="preserve">Ответы на запрос предоставляются и утверждаются непосредственно отвечающими государственными органами. ДЭСВ ООН при поддержке МОМ и </w:t>
      </w:r>
      <w:r w:rsidRPr="001D08FA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 xml:space="preserve">ОЭСР по мере необходимости будет проводить базовую проверку согласованности. Любые несоответствия будут отмечены национальными партнерами для разрешения. </w:t>
      </w:r>
    </w:p>
    <w:p w14:paraId="6228957B" w14:textId="5ED47EE3" w:rsidR="00AB2823" w:rsidRPr="001D08FA" w:rsidRDefault="00AB2823" w:rsidP="001D08FA">
      <w:pPr>
        <w:pStyle w:val="a7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D08FA">
        <w:rPr>
          <w:rStyle w:val="tlid-translation"/>
          <w:rFonts w:ascii="Times New Roman" w:hAnsi="Times New Roman" w:cs="Times New Roman"/>
          <w:sz w:val="24"/>
          <w:szCs w:val="24"/>
        </w:rPr>
        <w:t>Поскольку показатель напрямую зависит от ответов стран на запрос, дополнительного процесса консультаций со странами по национальным данным, представленным в базе данных показателей ЦУР, не предусматривается.</w:t>
      </w:r>
    </w:p>
    <w:p w14:paraId="4B9CD3CF" w14:textId="77777777" w:rsidR="00781D2D" w:rsidRPr="002A6775" w:rsidRDefault="00781D2D" w:rsidP="00781D2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F1549EA" w14:textId="3EC141B1" w:rsidR="00781D2D" w:rsidRPr="00781D2D" w:rsidRDefault="00781D2D" w:rsidP="00781D2D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Источники данных </w:t>
      </w:r>
    </w:p>
    <w:p w14:paraId="62C14B4F" w14:textId="77777777" w:rsidR="001D08FA" w:rsidRPr="00781D2D" w:rsidRDefault="001D08FA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9045543" w14:textId="24D81AFA" w:rsidR="00AB2823" w:rsidRPr="001D08FA" w:rsidRDefault="00AB2823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1D08FA">
        <w:rPr>
          <w:rStyle w:val="tlid-translation"/>
          <w:rFonts w:ascii="Times New Roman" w:hAnsi="Times New Roman" w:cs="Times New Roman"/>
          <w:b/>
          <w:sz w:val="24"/>
          <w:szCs w:val="24"/>
        </w:rPr>
        <w:t>Описание:</w:t>
      </w:r>
    </w:p>
    <w:p w14:paraId="2C0B2D82" w14:textId="77777777" w:rsidR="00765DFB" w:rsidRPr="00371A77" w:rsidRDefault="00AB2823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Источником данных является запрос ООН среди правительств по народонаселению и развитию, который используется для обзора глобальной демографической политики с 1963 года, включая политику в отношении международной миграции. </w:t>
      </w:r>
      <w:r w:rsidR="00765DFB" w:rsidRPr="00371A77">
        <w:rPr>
          <w:rStyle w:val="tlid-translation"/>
          <w:rFonts w:ascii="Times New Roman" w:hAnsi="Times New Roman" w:cs="Times New Roman"/>
          <w:sz w:val="24"/>
          <w:szCs w:val="24"/>
        </w:rPr>
        <w:t>Опрос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поручено</w:t>
      </w:r>
      <w:r w:rsidR="00765DFB"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проводить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Генеральной Ассамблеей в ее резолюции 1838 (XVII) от 18 декабря 1962 года. </w:t>
      </w:r>
      <w:r w:rsidR="00765DFB" w:rsidRPr="00371A77">
        <w:rPr>
          <w:rStyle w:val="tlid-translation"/>
          <w:rFonts w:ascii="Times New Roman" w:hAnsi="Times New Roman" w:cs="Times New Roman"/>
          <w:sz w:val="24"/>
          <w:szCs w:val="24"/>
        </w:rPr>
        <w:t>Опрос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состоит в основном из вопросов с несколькими вариантами ответов. Двенадцат</w:t>
      </w:r>
      <w:r w:rsidR="00765DFB" w:rsidRPr="00371A77">
        <w:rPr>
          <w:rStyle w:val="tlid-translation"/>
          <w:rFonts w:ascii="Times New Roman" w:hAnsi="Times New Roman" w:cs="Times New Roman"/>
          <w:sz w:val="24"/>
          <w:szCs w:val="24"/>
        </w:rPr>
        <w:t>ый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765DFB" w:rsidRPr="00371A77">
        <w:rPr>
          <w:rStyle w:val="tlid-translation"/>
          <w:rFonts w:ascii="Times New Roman" w:hAnsi="Times New Roman" w:cs="Times New Roman"/>
          <w:sz w:val="24"/>
          <w:szCs w:val="24"/>
        </w:rPr>
        <w:t>опрос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разделен на три тематических модуля: Модуль I, посвященный старению населения и урбанизации; Модуль II по рождаемости, планированию семьи и репродуктивному здоровью; и Модуль III по международной миграции. Модуль III двенадцатого </w:t>
      </w:r>
      <w:r w:rsidR="00765DFB" w:rsidRPr="00371A77">
        <w:rPr>
          <w:rStyle w:val="tlid-translation"/>
          <w:rFonts w:ascii="Times New Roman" w:hAnsi="Times New Roman" w:cs="Times New Roman"/>
          <w:sz w:val="24"/>
          <w:szCs w:val="24"/>
        </w:rPr>
        <w:t>о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проса был обновлен и теперь включает основные вопросы для всех шести областей миграционной политики, упомянутых выше.</w:t>
      </w:r>
    </w:p>
    <w:p w14:paraId="2C72EE0B" w14:textId="77777777" w:rsidR="001D08FA" w:rsidRPr="00781D2D" w:rsidRDefault="001D08FA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5958F369" w14:textId="2A37D62D" w:rsidR="00AB2823" w:rsidRPr="00371A77" w:rsidRDefault="00AB2823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b/>
          <w:sz w:val="24"/>
          <w:szCs w:val="24"/>
        </w:rPr>
        <w:t>Процесс сбора: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</w:p>
    <w:p w14:paraId="62AAB7EC" w14:textId="77777777" w:rsidR="00765DFB" w:rsidRPr="00371A77" w:rsidRDefault="00765DFB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О</w:t>
      </w:r>
      <w:r w:rsidR="00AB2823"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прос проводится от имени Генерального секретаря и направляется во все постоянные представительства в Нью-Йорке: 193 государства-члена, 2 государства-наблюдателя и 2 государства, не </w:t>
      </w:r>
      <w:proofErr w:type="gramStart"/>
      <w:r w:rsidR="00AB2823" w:rsidRPr="00371A77">
        <w:rPr>
          <w:rStyle w:val="tlid-translation"/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="00AB2823"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членами. В соответствии с прошлой практикой постоянные представительства перенаправляют три тематических модуля 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опроса</w:t>
      </w:r>
      <w:r w:rsidR="00AB2823"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в</w:t>
      </w:r>
      <w:r w:rsidR="00AB2823"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соответствующие отраслевые министерства или правительственные ведомства, которым поручено отвечать на вопросы. Модули запроса могут быть заполнены либо с помощью онлайн-анкеты, либо заполненной анкеты в формате PDF. Ответы стран передаются обратно в ДЭСВ ООН для базовой проверки согласованно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сти. Затем данные </w:t>
      </w:r>
      <w:proofErr w:type="gramStart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компилируются</w:t>
      </w:r>
      <w:proofErr w:type="gramEnd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/</w:t>
      </w:r>
      <w:r w:rsidR="00AB2823"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интегрируются в базу данных </w:t>
      </w:r>
      <w:proofErr w:type="spellStart"/>
      <w:r w:rsidR="00AB2823" w:rsidRPr="00371A77">
        <w:rPr>
          <w:rStyle w:val="tlid-translation"/>
          <w:rFonts w:ascii="Times New Roman" w:hAnsi="Times New Roman" w:cs="Times New Roman"/>
          <w:sz w:val="24"/>
          <w:szCs w:val="24"/>
        </w:rPr>
        <w:t>World</w:t>
      </w:r>
      <w:proofErr w:type="spellEnd"/>
      <w:r w:rsidR="00AB2823"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23" w:rsidRPr="00371A77">
        <w:rPr>
          <w:rStyle w:val="tlid-translation"/>
          <w:rFonts w:ascii="Times New Roman" w:hAnsi="Times New Roman" w:cs="Times New Roman"/>
          <w:sz w:val="24"/>
          <w:szCs w:val="24"/>
        </w:rPr>
        <w:t>Population</w:t>
      </w:r>
      <w:proofErr w:type="spellEnd"/>
      <w:r w:rsidR="00AB2823"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823" w:rsidRPr="00371A77">
        <w:rPr>
          <w:rStyle w:val="tlid-translation"/>
          <w:rFonts w:ascii="Times New Roman" w:hAnsi="Times New Roman" w:cs="Times New Roman"/>
          <w:sz w:val="24"/>
          <w:szCs w:val="24"/>
        </w:rPr>
        <w:t>Policies</w:t>
      </w:r>
      <w:proofErr w:type="spellEnd"/>
      <w:r w:rsidR="00AB2823"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. Результаты 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опроса</w:t>
      </w:r>
      <w:r w:rsidR="00AB2823"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распространяются через базу данных, которая обновляется каждые два года.</w:t>
      </w:r>
    </w:p>
    <w:p w14:paraId="3EBF325F" w14:textId="27D8F0EF" w:rsidR="00AB2823" w:rsidRPr="00371A77" w:rsidRDefault="00AB2823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В рамках сотрудничества по показателю ЦУР 10.7.2 МОМ будет оказывать помощь в получении ответов стран </w:t>
      </w:r>
      <w:r w:rsidR="00765DFB" w:rsidRPr="00371A77">
        <w:rPr>
          <w:rStyle w:val="tlid-translation"/>
          <w:rFonts w:ascii="Times New Roman" w:hAnsi="Times New Roman" w:cs="Times New Roman"/>
          <w:sz w:val="24"/>
          <w:szCs w:val="24"/>
        </w:rPr>
        <w:t>по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Модул</w:t>
      </w:r>
      <w:r w:rsidR="00765DFB" w:rsidRPr="00371A77">
        <w:rPr>
          <w:rStyle w:val="tlid-translation"/>
          <w:rFonts w:ascii="Times New Roman" w:hAnsi="Times New Roman" w:cs="Times New Roman"/>
          <w:sz w:val="24"/>
          <w:szCs w:val="24"/>
        </w:rPr>
        <w:t>ю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III, выполняя последующие меры через своих соответствующих страновых или региональных партнеров. ОЭСР, как партнерское агентство по этому показателю, поддержит эти усилия для своих стран-членов. Региональные комисс</w:t>
      </w:r>
      <w:proofErr w:type="gramStart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ии ОО</w:t>
      </w:r>
      <w:proofErr w:type="gramEnd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Н могут при необходимости оказывать дополнительную 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>помощь. Ожидается, что это сотрудничество повысит процент ответов от стран и улучшит качество данных.</w:t>
      </w:r>
    </w:p>
    <w:p w14:paraId="5022D564" w14:textId="77777777" w:rsidR="001D08FA" w:rsidRPr="00781D2D" w:rsidRDefault="00734CFE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Данные должны собираться раз в два года, чтобы обеспечить наличие достаточной информации для мониторинга прогресса в достижении цели. Это также позволит собирать контрольные данные дважды в течение каждого 4-летнего цикла </w:t>
      </w:r>
      <w:r w:rsidR="00765DFB" w:rsidRPr="00371A77">
        <w:rPr>
          <w:rStyle w:val="tlid-translation"/>
          <w:rFonts w:ascii="Times New Roman" w:hAnsi="Times New Roman" w:cs="Times New Roman"/>
          <w:sz w:val="24"/>
          <w:szCs w:val="24"/>
        </w:rPr>
        <w:t>Политического форума высокого уровня (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HLPF</w:t>
      </w:r>
      <w:r w:rsidR="00765DFB" w:rsidRPr="00371A77">
        <w:rPr>
          <w:rStyle w:val="tlid-translation"/>
          <w:rFonts w:ascii="Times New Roman" w:hAnsi="Times New Roman" w:cs="Times New Roman"/>
          <w:sz w:val="24"/>
          <w:szCs w:val="24"/>
        </w:rPr>
        <w:t>)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</w:p>
    <w:p w14:paraId="2626F34D" w14:textId="63613C69" w:rsidR="00734CFE" w:rsidRPr="00371A77" w:rsidRDefault="00734CFE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Никаких корректировок к стандартным классификациям не предусмотрено.</w:t>
      </w:r>
    </w:p>
    <w:p w14:paraId="7CDAB28E" w14:textId="77777777" w:rsidR="00781D2D" w:rsidRPr="002A6775" w:rsidRDefault="00781D2D" w:rsidP="00781D2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D00DE87" w14:textId="77777777" w:rsidR="00781D2D" w:rsidRPr="002A6775" w:rsidRDefault="00781D2D" w:rsidP="00781D2D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Доступность данных </w:t>
      </w:r>
    </w:p>
    <w:p w14:paraId="5565E571" w14:textId="77777777" w:rsidR="00781D2D" w:rsidRPr="002A6775" w:rsidRDefault="00781D2D" w:rsidP="00781D2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71396B9" w14:textId="5289DE46" w:rsidR="00734CFE" w:rsidRPr="001D08FA" w:rsidRDefault="00734CFE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1D08FA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Описание: </w:t>
      </w:r>
    </w:p>
    <w:p w14:paraId="790FE743" w14:textId="77777777" w:rsidR="001D08FA" w:rsidRPr="001D08FA" w:rsidRDefault="00734CFE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Тридцати странам было предложено принять участие в </w:t>
      </w:r>
      <w:r w:rsidR="00765DFB" w:rsidRPr="00371A77">
        <w:rPr>
          <w:rStyle w:val="tlid-translation"/>
          <w:rFonts w:ascii="Times New Roman" w:hAnsi="Times New Roman" w:cs="Times New Roman"/>
          <w:sz w:val="24"/>
          <w:szCs w:val="24"/>
        </w:rPr>
        <w:t>пилот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ной реализации предлагаемой методологии для </w:t>
      </w:r>
      <w:r w:rsidR="00765DFB" w:rsidRPr="00371A77">
        <w:rPr>
          <w:rStyle w:val="tlid-translation"/>
          <w:rFonts w:ascii="Times New Roman" w:hAnsi="Times New Roman" w:cs="Times New Roman"/>
          <w:sz w:val="24"/>
          <w:szCs w:val="24"/>
        </w:rPr>
        <w:t>показателя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10.7.2; по шесть от каждой из региональных комиссий ООН. Десять стран ответили на </w:t>
      </w:r>
      <w:proofErr w:type="spellStart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э</w:t>
      </w:r>
      <w:r w:rsidR="00765DFB" w:rsidRPr="00371A77">
        <w:rPr>
          <w:rStyle w:val="tlid-translation"/>
          <w:rFonts w:ascii="Times New Roman" w:hAnsi="Times New Roman" w:cs="Times New Roman"/>
          <w:sz w:val="24"/>
          <w:szCs w:val="24"/>
        </w:rPr>
        <w:t>пилот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ный</w:t>
      </w:r>
      <w:proofErr w:type="spellEnd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проект: </w:t>
      </w:r>
      <w:proofErr w:type="gramStart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Кот-д'Ивуар; Демократическая Республика Конго; Финляндия; Франция; Лесото; Литва; Мексика; Марокко; Швеция и Йемен.</w:t>
      </w:r>
      <w:proofErr w:type="gramEnd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Результаты пилотного проекта представлены в приложении «Изложение методологии развития».</w:t>
      </w:r>
    </w:p>
    <w:p w14:paraId="57D778B9" w14:textId="7227E641" w:rsidR="00765DFB" w:rsidRPr="001D08FA" w:rsidRDefault="00734CFE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1D08FA">
        <w:rPr>
          <w:rStyle w:val="tlid-translation"/>
          <w:rFonts w:ascii="Times New Roman" w:hAnsi="Times New Roman" w:cs="Times New Roman"/>
          <w:b/>
          <w:sz w:val="24"/>
          <w:szCs w:val="24"/>
        </w:rPr>
        <w:t>Временные р</w:t>
      </w:r>
      <w:r w:rsidR="00765DFB" w:rsidRPr="001D08FA">
        <w:rPr>
          <w:rStyle w:val="tlid-translation"/>
          <w:rFonts w:ascii="Times New Roman" w:hAnsi="Times New Roman" w:cs="Times New Roman"/>
          <w:b/>
          <w:sz w:val="24"/>
          <w:szCs w:val="24"/>
        </w:rPr>
        <w:t>яды</w:t>
      </w:r>
      <w:r w:rsidRPr="001D08FA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BD13119" w14:textId="0DFB11FC" w:rsidR="00734CFE" w:rsidRPr="00371A77" w:rsidRDefault="00765DFB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В</w:t>
      </w:r>
      <w:r w:rsidR="00734CFE"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настоящее время нет исторических временных рамок для этого 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показателя</w:t>
      </w:r>
      <w:r w:rsidR="00734CFE" w:rsidRPr="00371A77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14:paraId="7BFCF8FF" w14:textId="77777777" w:rsidR="00781D2D" w:rsidRPr="002A6775" w:rsidRDefault="00781D2D" w:rsidP="00781D2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2E95176" w14:textId="77777777" w:rsidR="00781D2D" w:rsidRPr="002A6775" w:rsidRDefault="00781D2D" w:rsidP="00781D2D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Календарь </w:t>
      </w:r>
    </w:p>
    <w:p w14:paraId="3BE6FB67" w14:textId="77777777" w:rsidR="00781D2D" w:rsidRPr="002A6775" w:rsidRDefault="00781D2D" w:rsidP="00781D2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2880A5CA" w14:textId="7E006DAB" w:rsidR="00765DFB" w:rsidRPr="001D08FA" w:rsidRDefault="00734CFE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8FA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Сбор </w:t>
      </w:r>
      <w:r w:rsidR="00765DFB" w:rsidRPr="001D08FA">
        <w:rPr>
          <w:rStyle w:val="tlid-translation"/>
          <w:rFonts w:ascii="Times New Roman" w:hAnsi="Times New Roman" w:cs="Times New Roman"/>
          <w:b/>
          <w:sz w:val="24"/>
          <w:szCs w:val="24"/>
        </w:rPr>
        <w:t>данных</w:t>
      </w:r>
      <w:r w:rsidRPr="001D08FA">
        <w:rPr>
          <w:rStyle w:val="tlid-translation"/>
          <w:rFonts w:ascii="Times New Roman" w:hAnsi="Times New Roman" w:cs="Times New Roman"/>
          <w:b/>
          <w:sz w:val="24"/>
          <w:szCs w:val="24"/>
        </w:rPr>
        <w:t>:</w:t>
      </w:r>
    </w:p>
    <w:p w14:paraId="55E6C6E8" w14:textId="56A0B3B4" w:rsidR="00765DFB" w:rsidRPr="00371A77" w:rsidRDefault="00734CFE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Данные будут </w:t>
      </w:r>
      <w:proofErr w:type="gramStart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собираться</w:t>
      </w:r>
      <w:proofErr w:type="gramEnd"/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и </w:t>
      </w:r>
      <w:r w:rsidR="00765DFB" w:rsidRPr="00371A77">
        <w:rPr>
          <w:rStyle w:val="tlid-translation"/>
          <w:rFonts w:ascii="Times New Roman" w:hAnsi="Times New Roman" w:cs="Times New Roman"/>
          <w:sz w:val="24"/>
          <w:szCs w:val="24"/>
        </w:rPr>
        <w:t>компилирова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ться каждые два года, начиная с 2018 года.</w:t>
      </w:r>
    </w:p>
    <w:p w14:paraId="0F08ACDF" w14:textId="77777777" w:rsidR="001D08FA" w:rsidRPr="00781D2D" w:rsidRDefault="001D08FA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4D4E5CE0" w14:textId="77777777" w:rsidR="00765DFB" w:rsidRPr="001D08FA" w:rsidRDefault="00734CFE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8FA">
        <w:rPr>
          <w:rStyle w:val="tlid-translation"/>
          <w:rFonts w:ascii="Times New Roman" w:hAnsi="Times New Roman" w:cs="Times New Roman"/>
          <w:b/>
          <w:sz w:val="24"/>
          <w:szCs w:val="24"/>
        </w:rPr>
        <w:t>Выпуск данных:</w:t>
      </w:r>
    </w:p>
    <w:p w14:paraId="6E1AF461" w14:textId="77777777" w:rsidR="00765DFB" w:rsidRPr="00371A77" w:rsidRDefault="00734CFE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Первый квартал 2019 года. </w:t>
      </w:r>
    </w:p>
    <w:p w14:paraId="759EAA82" w14:textId="77777777" w:rsidR="00781D2D" w:rsidRPr="002A6775" w:rsidRDefault="00781D2D" w:rsidP="00781D2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A39029C" w14:textId="1825D02C" w:rsidR="00781D2D" w:rsidRPr="00781D2D" w:rsidRDefault="00781D2D" w:rsidP="00781D2D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Поставщики данных </w:t>
      </w:r>
    </w:p>
    <w:p w14:paraId="5ADCA6C6" w14:textId="77777777" w:rsidR="001D08FA" w:rsidRPr="00781D2D" w:rsidRDefault="001D08FA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color w:val="0070C0"/>
          <w:sz w:val="24"/>
          <w:szCs w:val="24"/>
        </w:rPr>
      </w:pPr>
    </w:p>
    <w:p w14:paraId="0A5097EC" w14:textId="55B5D910" w:rsidR="00765DFB" w:rsidRPr="00371A77" w:rsidRDefault="00734CFE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Правительства 193 государств-членов</w:t>
      </w:r>
      <w:r w:rsidR="00765DFB"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ООН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, 2 государств-наблюдателей и 2 государств, не являющихся членами</w:t>
      </w:r>
      <w:r w:rsidR="00765DFB"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ООН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14:paraId="27D99CB0" w14:textId="77777777" w:rsidR="00781D2D" w:rsidRPr="002A6775" w:rsidRDefault="00781D2D" w:rsidP="00781D2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25CC4A8" w14:textId="77777777" w:rsidR="00781D2D" w:rsidRPr="002A6775" w:rsidRDefault="00781D2D" w:rsidP="00781D2D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>Составители данных</w:t>
      </w:r>
    </w:p>
    <w:p w14:paraId="1BF14E21" w14:textId="77777777" w:rsidR="00781D2D" w:rsidRPr="002A6775" w:rsidRDefault="00781D2D" w:rsidP="00781D2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D5FCF56" w14:textId="77777777" w:rsidR="00765DFB" w:rsidRPr="00781D2D" w:rsidRDefault="00734CFE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ДЭСВ ООН, МОМ и ОЭСР.</w:t>
      </w:r>
    </w:p>
    <w:p w14:paraId="59CD4D96" w14:textId="77777777" w:rsidR="00781D2D" w:rsidRPr="002A6775" w:rsidRDefault="00781D2D" w:rsidP="00781D2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4266469" w14:textId="77777777" w:rsidR="00781D2D" w:rsidRPr="002A6775" w:rsidRDefault="00781D2D" w:rsidP="00781D2D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Ссылки </w:t>
      </w:r>
    </w:p>
    <w:p w14:paraId="3FE6DFB8" w14:textId="77777777" w:rsidR="00781D2D" w:rsidRPr="002A6775" w:rsidRDefault="00781D2D" w:rsidP="00781D2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67E0524" w14:textId="77777777" w:rsidR="001D08FA" w:rsidRPr="00781D2D" w:rsidRDefault="00734CFE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FA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URL</w:t>
      </w:r>
      <w:r w:rsidRPr="00781D2D">
        <w:rPr>
          <w:rStyle w:val="tlid-translation"/>
          <w:rFonts w:ascii="Times New Roman" w:hAnsi="Times New Roman" w:cs="Times New Roman"/>
          <w:b/>
          <w:sz w:val="24"/>
          <w:szCs w:val="24"/>
        </w:rPr>
        <w:t>:</w:t>
      </w:r>
    </w:p>
    <w:p w14:paraId="561CFFB8" w14:textId="77777777" w:rsidR="001D08FA" w:rsidRPr="00781D2D" w:rsidRDefault="001D08FA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58E22" w14:textId="3B982054" w:rsidR="008541E5" w:rsidRPr="001D08FA" w:rsidRDefault="00734CFE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ДЭСВ</w:t>
      </w:r>
      <w:r w:rsidRPr="001D08FA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ООН</w:t>
      </w:r>
      <w:r w:rsidRPr="001D08FA">
        <w:rPr>
          <w:rStyle w:val="tlid-translation"/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8541E5" w:rsidRPr="001D08F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541E5" w:rsidRPr="001D08FA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541E5" w:rsidRPr="001D08F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1E5" w:rsidRPr="001D08F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541E5" w:rsidRPr="001D08F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="008541E5" w:rsidRPr="001D08F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541E5" w:rsidRPr="001D08F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8541E5" w:rsidRPr="001D08FA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541E5" w:rsidRPr="001D08F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en</w:t>
        </w:r>
        <w:proofErr w:type="spellEnd"/>
        <w:r w:rsidR="008541E5" w:rsidRPr="001D08FA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8541E5" w:rsidRPr="001D08F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development</w:t>
        </w:r>
        <w:r w:rsidR="008541E5" w:rsidRPr="001D08FA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541E5" w:rsidRPr="001D08F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desa</w:t>
        </w:r>
        <w:proofErr w:type="spellEnd"/>
        <w:r w:rsidR="008541E5" w:rsidRPr="001D08FA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8541E5" w:rsidRPr="001D08F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population</w:t>
        </w:r>
        <w:r w:rsidR="008541E5" w:rsidRPr="001D08FA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8541E5" w:rsidRPr="001D08F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8541E5" w:rsidRPr="001D08F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541E5" w:rsidRPr="001D08F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shtml</w:t>
        </w:r>
        <w:proofErr w:type="spellEnd"/>
      </w:hyperlink>
    </w:p>
    <w:p w14:paraId="08E347F2" w14:textId="318B2171" w:rsidR="008541E5" w:rsidRPr="00371A77" w:rsidRDefault="00734CFE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МОМ: </w:t>
      </w:r>
      <w:hyperlink r:id="rId10" w:history="1">
        <w:r w:rsidR="008541E5" w:rsidRPr="00371A77">
          <w:rPr>
            <w:rStyle w:val="a8"/>
            <w:rFonts w:ascii="Times New Roman" w:hAnsi="Times New Roman" w:cs="Times New Roman"/>
            <w:sz w:val="24"/>
            <w:szCs w:val="24"/>
          </w:rPr>
          <w:t>https://www.iom.int/</w:t>
        </w:r>
      </w:hyperlink>
    </w:p>
    <w:p w14:paraId="48C78649" w14:textId="418EBF99" w:rsidR="00734CFE" w:rsidRPr="00371A77" w:rsidRDefault="00734CFE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ОЭСР: </w:t>
      </w:r>
      <w:hyperlink r:id="rId11" w:history="1">
        <w:r w:rsidRPr="00371A77">
          <w:rPr>
            <w:rStyle w:val="a8"/>
            <w:rFonts w:ascii="Times New Roman" w:hAnsi="Times New Roman" w:cs="Times New Roman"/>
            <w:sz w:val="24"/>
            <w:szCs w:val="24"/>
          </w:rPr>
          <w:t>http://www.oecd.org/migration/</w:t>
        </w:r>
      </w:hyperlink>
    </w:p>
    <w:p w14:paraId="47BF0208" w14:textId="77777777" w:rsidR="001D08FA" w:rsidRPr="00781D2D" w:rsidRDefault="001D08FA" w:rsidP="00371A77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0B46A4F2" w14:textId="77777777" w:rsidR="001D08FA" w:rsidRDefault="00734CFE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A77">
        <w:rPr>
          <w:rStyle w:val="tlid-translation"/>
          <w:rFonts w:ascii="Times New Roman" w:hAnsi="Times New Roman" w:cs="Times New Roman"/>
          <w:b/>
          <w:sz w:val="24"/>
          <w:szCs w:val="24"/>
        </w:rPr>
        <w:t>Источники:</w:t>
      </w:r>
    </w:p>
    <w:p w14:paraId="30731941" w14:textId="30328EB0" w:rsidR="008541E5" w:rsidRPr="001D08FA" w:rsidRDefault="00734CFE" w:rsidP="001D08FA">
      <w:pPr>
        <w:pStyle w:val="a7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D08FA">
        <w:rPr>
          <w:rStyle w:val="tlid-translation"/>
          <w:rFonts w:ascii="Times New Roman" w:hAnsi="Times New Roman" w:cs="Times New Roman"/>
          <w:sz w:val="24"/>
          <w:szCs w:val="24"/>
        </w:rPr>
        <w:t>Структура управления миграцией (</w:t>
      </w:r>
      <w:proofErr w:type="spellStart"/>
      <w:r w:rsidRPr="001D08FA">
        <w:rPr>
          <w:rStyle w:val="tlid-translation"/>
          <w:rFonts w:ascii="Times New Roman" w:hAnsi="Times New Roman" w:cs="Times New Roman"/>
          <w:sz w:val="24"/>
          <w:szCs w:val="24"/>
        </w:rPr>
        <w:t>MiGOF</w:t>
      </w:r>
      <w:proofErr w:type="spellEnd"/>
      <w:r w:rsidRPr="001D08FA">
        <w:rPr>
          <w:rStyle w:val="tlid-translation"/>
          <w:rFonts w:ascii="Times New Roman" w:hAnsi="Times New Roman" w:cs="Times New Roman"/>
          <w:sz w:val="24"/>
          <w:szCs w:val="24"/>
        </w:rPr>
        <w:t xml:space="preserve">): </w:t>
      </w:r>
      <w:hyperlink r:id="rId12" w:history="1">
        <w:r w:rsidR="008541E5" w:rsidRPr="001D08FA">
          <w:rPr>
            <w:rStyle w:val="a8"/>
            <w:rFonts w:ascii="Times New Roman" w:hAnsi="Times New Roman" w:cs="Times New Roman"/>
            <w:sz w:val="24"/>
            <w:szCs w:val="24"/>
          </w:rPr>
          <w:t>https://www.iom.int/sites/default/files/about-iom/migof_brochure_a4_en.pdf</w:t>
        </w:r>
      </w:hyperlink>
    </w:p>
    <w:p w14:paraId="68BB3397" w14:textId="71D25B92" w:rsidR="00734CFE" w:rsidRPr="001D08FA" w:rsidRDefault="00734CFE" w:rsidP="001D08FA">
      <w:pPr>
        <w:pStyle w:val="a7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D08FA">
        <w:rPr>
          <w:rStyle w:val="tlid-translation"/>
          <w:rFonts w:ascii="Times New Roman" w:hAnsi="Times New Roman" w:cs="Times New Roman"/>
          <w:sz w:val="24"/>
          <w:szCs w:val="24"/>
        </w:rPr>
        <w:t xml:space="preserve">Запрос ООН среди правительств по народонаселению и развитию: </w:t>
      </w:r>
      <w:hyperlink r:id="rId13" w:history="1">
        <w:r w:rsidRPr="001D08FA">
          <w:rPr>
            <w:rStyle w:val="a8"/>
            <w:rFonts w:ascii="Times New Roman" w:hAnsi="Times New Roman" w:cs="Times New Roman"/>
            <w:sz w:val="24"/>
            <w:szCs w:val="24"/>
          </w:rPr>
          <w:t>https://esa.un.org/PopPolicy/Inquiry.aspx</w:t>
        </w:r>
      </w:hyperlink>
    </w:p>
    <w:p w14:paraId="42FEDFC3" w14:textId="77777777" w:rsidR="00781D2D" w:rsidRDefault="00781D2D" w:rsidP="00781D2D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color w:val="0070C0"/>
          <w:sz w:val="24"/>
          <w:szCs w:val="24"/>
        </w:rPr>
      </w:pPr>
    </w:p>
    <w:p w14:paraId="5572B832" w14:textId="77777777" w:rsidR="00781D2D" w:rsidRDefault="00781D2D" w:rsidP="00781D2D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color w:val="0070C0"/>
          <w:sz w:val="24"/>
          <w:szCs w:val="24"/>
        </w:rPr>
      </w:pPr>
    </w:p>
    <w:p w14:paraId="2D112C42" w14:textId="77777777" w:rsidR="00781D2D" w:rsidRPr="002A6775" w:rsidRDefault="00781D2D" w:rsidP="00781D2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E17E32A" w14:textId="06DBAE81" w:rsidR="00781D2D" w:rsidRPr="00781D2D" w:rsidRDefault="00781D2D" w:rsidP="00781D2D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Связанные показатели </w:t>
      </w:r>
      <w:bookmarkStart w:id="0" w:name="_GoBack"/>
      <w:bookmarkEnd w:id="0"/>
    </w:p>
    <w:p w14:paraId="0A8A2BC7" w14:textId="77777777" w:rsidR="001D08FA" w:rsidRPr="00781D2D" w:rsidRDefault="001D08FA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005DA7E4" w14:textId="77777777" w:rsidR="00765DFB" w:rsidRPr="00371A77" w:rsidRDefault="00765DFB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Показатель</w:t>
      </w:r>
      <w:r w:rsidR="00734CFE"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10.7.2 дополня</w:t>
      </w: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ю</w:t>
      </w:r>
      <w:r w:rsidR="00734CFE" w:rsidRPr="00371A77">
        <w:rPr>
          <w:rStyle w:val="tlid-translation"/>
          <w:rFonts w:ascii="Times New Roman" w:hAnsi="Times New Roman" w:cs="Times New Roman"/>
          <w:sz w:val="24"/>
          <w:szCs w:val="24"/>
        </w:rPr>
        <w:t>т несколько связанных показателей ЦУР. Они включают, но не ограничиваются:</w:t>
      </w:r>
    </w:p>
    <w:p w14:paraId="0F7B0B37" w14:textId="4A4BC5D8" w:rsidR="00765DFB" w:rsidRPr="001D08FA" w:rsidRDefault="00765DFB" w:rsidP="001D08FA">
      <w:pPr>
        <w:pStyle w:val="a7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FA">
        <w:rPr>
          <w:rStyle w:val="tlid-translation"/>
          <w:rFonts w:ascii="Times New Roman" w:hAnsi="Times New Roman" w:cs="Times New Roman"/>
          <w:sz w:val="24"/>
          <w:szCs w:val="24"/>
        </w:rPr>
        <w:t>Показатель</w:t>
      </w:r>
      <w:r w:rsidR="00734CFE" w:rsidRPr="001D08FA">
        <w:rPr>
          <w:rStyle w:val="tlid-translation"/>
          <w:rFonts w:ascii="Times New Roman" w:hAnsi="Times New Roman" w:cs="Times New Roman"/>
          <w:sz w:val="24"/>
          <w:szCs w:val="24"/>
        </w:rPr>
        <w:t xml:space="preserve"> 8.8.1 «</w:t>
      </w:r>
      <w:r w:rsidR="00285650" w:rsidRPr="001D08FA">
        <w:rPr>
          <w:rStyle w:val="tlid-translation"/>
          <w:rFonts w:ascii="Times New Roman" w:hAnsi="Times New Roman" w:cs="Times New Roman"/>
          <w:sz w:val="24"/>
          <w:szCs w:val="24"/>
        </w:rPr>
        <w:t>Производственный травматизм со смертельным и не смертельным исходом в разбивке по полу и миграционному статусу</w:t>
      </w:r>
      <w:r w:rsidR="00734CFE" w:rsidRPr="001D08FA">
        <w:rPr>
          <w:rStyle w:val="tlid-translation"/>
          <w:rFonts w:ascii="Times New Roman" w:hAnsi="Times New Roman" w:cs="Times New Roman"/>
          <w:sz w:val="24"/>
          <w:szCs w:val="24"/>
        </w:rPr>
        <w:t>»;</w:t>
      </w:r>
    </w:p>
    <w:p w14:paraId="0B35BADD" w14:textId="3CEAA7A8" w:rsidR="00765DFB" w:rsidRPr="001D08FA" w:rsidRDefault="00765DFB" w:rsidP="001D08FA">
      <w:pPr>
        <w:pStyle w:val="a7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FA">
        <w:rPr>
          <w:rStyle w:val="tlid-translation"/>
          <w:rFonts w:ascii="Times New Roman" w:hAnsi="Times New Roman" w:cs="Times New Roman"/>
          <w:sz w:val="24"/>
          <w:szCs w:val="24"/>
        </w:rPr>
        <w:t>Показатель</w:t>
      </w:r>
      <w:r w:rsidR="00734CFE" w:rsidRPr="001D08FA">
        <w:rPr>
          <w:rStyle w:val="tlid-translation"/>
          <w:rFonts w:ascii="Times New Roman" w:hAnsi="Times New Roman" w:cs="Times New Roman"/>
          <w:sz w:val="24"/>
          <w:szCs w:val="24"/>
        </w:rPr>
        <w:t xml:space="preserve"> 8.8.2. «</w:t>
      </w:r>
      <w:r w:rsidR="00285650" w:rsidRPr="001D08FA">
        <w:rPr>
          <w:rStyle w:val="tlid-translation"/>
          <w:rFonts w:ascii="Times New Roman" w:hAnsi="Times New Roman" w:cs="Times New Roman"/>
          <w:sz w:val="24"/>
          <w:szCs w:val="24"/>
        </w:rPr>
        <w:t>Ситуация с соблюдением трудовых прав на национальном уровне (свобода объединений и заключение коллективных трудовых договоров) на основе документальных источников Международной организации труда (МОТ) и национального законодательства в разбивке по полу и миграционному статусу</w:t>
      </w:r>
      <w:r w:rsidR="00734CFE" w:rsidRPr="001D08FA">
        <w:rPr>
          <w:rStyle w:val="tlid-translation"/>
          <w:rFonts w:ascii="Times New Roman" w:hAnsi="Times New Roman" w:cs="Times New Roman"/>
          <w:sz w:val="24"/>
          <w:szCs w:val="24"/>
        </w:rPr>
        <w:t>»;</w:t>
      </w:r>
    </w:p>
    <w:p w14:paraId="7B7DB900" w14:textId="663D68D8" w:rsidR="00765DFB" w:rsidRPr="001D08FA" w:rsidRDefault="00765DFB" w:rsidP="001D08FA">
      <w:pPr>
        <w:pStyle w:val="a7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1D08FA">
        <w:rPr>
          <w:rStyle w:val="tlid-translation"/>
          <w:rFonts w:ascii="Times New Roman" w:hAnsi="Times New Roman" w:cs="Times New Roman"/>
          <w:sz w:val="24"/>
          <w:szCs w:val="24"/>
        </w:rPr>
        <w:t>Показатель</w:t>
      </w:r>
      <w:r w:rsidR="00734CFE" w:rsidRPr="001D08FA">
        <w:rPr>
          <w:rStyle w:val="tlid-translation"/>
          <w:rFonts w:ascii="Times New Roman" w:hAnsi="Times New Roman" w:cs="Times New Roman"/>
          <w:sz w:val="24"/>
          <w:szCs w:val="24"/>
        </w:rPr>
        <w:t xml:space="preserve"> 10.7.1. «</w:t>
      </w:r>
      <w:r w:rsidR="00285650" w:rsidRPr="001D08FA">
        <w:rPr>
          <w:rStyle w:val="tlid-translation"/>
          <w:rFonts w:ascii="Times New Roman" w:hAnsi="Times New Roman" w:cs="Times New Roman"/>
          <w:sz w:val="24"/>
          <w:szCs w:val="24"/>
        </w:rPr>
        <w:t>Затраты работника на трудоустройство в процентах от его годового дохода в стране назначения</w:t>
      </w:r>
      <w:r w:rsidRPr="001D08FA">
        <w:rPr>
          <w:rStyle w:val="tlid-translation"/>
          <w:rFonts w:ascii="Times New Roman" w:hAnsi="Times New Roman" w:cs="Times New Roman"/>
          <w:sz w:val="24"/>
          <w:szCs w:val="24"/>
        </w:rPr>
        <w:t>»</w:t>
      </w:r>
    </w:p>
    <w:p w14:paraId="376E9E55" w14:textId="776BFC75" w:rsidR="00765DFB" w:rsidRPr="001D08FA" w:rsidRDefault="00765DFB" w:rsidP="001D08FA">
      <w:pPr>
        <w:pStyle w:val="a7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FA">
        <w:rPr>
          <w:rStyle w:val="tlid-translation"/>
          <w:rFonts w:ascii="Times New Roman" w:hAnsi="Times New Roman" w:cs="Times New Roman"/>
          <w:sz w:val="24"/>
          <w:szCs w:val="24"/>
        </w:rPr>
        <w:t>Показатель</w:t>
      </w:r>
      <w:r w:rsidR="00734CFE" w:rsidRPr="001D08FA">
        <w:rPr>
          <w:rStyle w:val="tlid-translation"/>
          <w:rFonts w:ascii="Times New Roman" w:hAnsi="Times New Roman" w:cs="Times New Roman"/>
          <w:sz w:val="24"/>
          <w:szCs w:val="24"/>
        </w:rPr>
        <w:t xml:space="preserve"> 10.c.1 «</w:t>
      </w:r>
      <w:r w:rsidR="00285650" w:rsidRPr="001D08FA">
        <w:rPr>
          <w:rStyle w:val="tlid-translation"/>
          <w:rFonts w:ascii="Times New Roman" w:hAnsi="Times New Roman" w:cs="Times New Roman"/>
          <w:sz w:val="24"/>
          <w:szCs w:val="24"/>
        </w:rPr>
        <w:t>Стоимость перевода в процентном отношении к переводимой сумме</w:t>
      </w:r>
      <w:r w:rsidR="00734CFE" w:rsidRPr="001D08FA">
        <w:rPr>
          <w:rStyle w:val="tlid-translation"/>
          <w:rFonts w:ascii="Times New Roman" w:hAnsi="Times New Roman" w:cs="Times New Roman"/>
          <w:sz w:val="24"/>
          <w:szCs w:val="24"/>
        </w:rPr>
        <w:t>».</w:t>
      </w:r>
    </w:p>
    <w:p w14:paraId="2197DD9E" w14:textId="2B4509EE" w:rsidR="00734CFE" w:rsidRPr="00371A77" w:rsidRDefault="00765DFB" w:rsidP="00371A7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1A77">
        <w:rPr>
          <w:rStyle w:val="tlid-translation"/>
          <w:rFonts w:ascii="Times New Roman" w:hAnsi="Times New Roman" w:cs="Times New Roman"/>
          <w:sz w:val="24"/>
          <w:szCs w:val="24"/>
        </w:rPr>
        <w:t>Показатель</w:t>
      </w:r>
      <w:r w:rsidR="00734CFE"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10.7.2 также дополняет другие национальные структуры мониторинга миграции, в том числе MGI МОМ, который вступил в свою третью фазу в 2018 году. MGI действует в качестве основы для определения параметров политики и дает представление о политических рычагах, которые страны могут использовать для дальнейшего развития своего управления миграцией. Он содержит почти 90 вопросов, касающихся национальной миграционной политики стран, которые подпадают под те же шесть областей, что и показатель 10.7.2.</w:t>
      </w:r>
      <w:r w:rsidR="00285650" w:rsidRPr="00371A7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</w:p>
    <w:sectPr w:rsidR="00734CFE" w:rsidRPr="00371A77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1FDC6" w14:textId="77777777" w:rsidR="00785415" w:rsidRDefault="00785415" w:rsidP="000954F7">
      <w:pPr>
        <w:spacing w:after="0" w:line="240" w:lineRule="auto"/>
      </w:pPr>
      <w:r>
        <w:separator/>
      </w:r>
    </w:p>
  </w:endnote>
  <w:endnote w:type="continuationSeparator" w:id="0">
    <w:p w14:paraId="4003009F" w14:textId="77777777" w:rsidR="00785415" w:rsidRDefault="00785415" w:rsidP="0009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555197"/>
      <w:docPartObj>
        <w:docPartGallery w:val="Page Numbers (Bottom of Page)"/>
        <w:docPartUnique/>
      </w:docPartObj>
    </w:sdtPr>
    <w:sdtEndPr/>
    <w:sdtContent>
      <w:p w14:paraId="7882CB72" w14:textId="0F2DE9AB" w:rsidR="00D538BB" w:rsidRDefault="00D538B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D2D">
          <w:rPr>
            <w:noProof/>
          </w:rPr>
          <w:t>1</w:t>
        </w:r>
        <w:r>
          <w:fldChar w:fldCharType="end"/>
        </w:r>
      </w:p>
    </w:sdtContent>
  </w:sdt>
  <w:p w14:paraId="318DD3CB" w14:textId="77777777" w:rsidR="00D538BB" w:rsidRDefault="00D538B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8F4AE" w14:textId="77777777" w:rsidR="00785415" w:rsidRDefault="00785415" w:rsidP="000954F7">
      <w:pPr>
        <w:spacing w:after="0" w:line="240" w:lineRule="auto"/>
      </w:pPr>
      <w:r>
        <w:separator/>
      </w:r>
    </w:p>
  </w:footnote>
  <w:footnote w:type="continuationSeparator" w:id="0">
    <w:p w14:paraId="12CAAFA5" w14:textId="77777777" w:rsidR="00785415" w:rsidRDefault="00785415" w:rsidP="000954F7">
      <w:pPr>
        <w:spacing w:after="0" w:line="240" w:lineRule="auto"/>
      </w:pPr>
      <w:r>
        <w:continuationSeparator/>
      </w:r>
    </w:p>
  </w:footnote>
  <w:footnote w:id="1">
    <w:p w14:paraId="2BDB9FDB" w14:textId="47AE877C" w:rsidR="0032105A" w:rsidRPr="00371A77" w:rsidRDefault="0032105A">
      <w:pPr>
        <w:pStyle w:val="a4"/>
        <w:rPr>
          <w:rFonts w:ascii="Times New Roman" w:hAnsi="Times New Roman" w:cs="Times New Roman"/>
          <w:lang w:val="en-US"/>
        </w:rPr>
      </w:pPr>
      <w:r w:rsidRPr="00371A77">
        <w:rPr>
          <w:rStyle w:val="a6"/>
          <w:rFonts w:ascii="Times New Roman" w:hAnsi="Times New Roman" w:cs="Times New Roman"/>
        </w:rPr>
        <w:footnoteRef/>
      </w:r>
      <w:r w:rsidRPr="00371A77">
        <w:rPr>
          <w:rFonts w:ascii="Times New Roman" w:hAnsi="Times New Roman" w:cs="Times New Roman"/>
          <w:lang w:val="en-US"/>
        </w:rPr>
        <w:t xml:space="preserve"> For additional information on the MGI see: https://gmdac.iom.int/migration-governance-indicators.  </w:t>
      </w:r>
    </w:p>
  </w:footnote>
  <w:footnote w:id="2">
    <w:p w14:paraId="70F54206" w14:textId="58B5E565" w:rsidR="0032105A" w:rsidRPr="001D08FA" w:rsidRDefault="0032105A">
      <w:pPr>
        <w:pStyle w:val="a4"/>
        <w:rPr>
          <w:rFonts w:ascii="Times New Roman" w:hAnsi="Times New Roman" w:cs="Times New Roman"/>
          <w:lang w:val="en-US"/>
        </w:rPr>
      </w:pPr>
      <w:r w:rsidRPr="001D08FA">
        <w:rPr>
          <w:rStyle w:val="a6"/>
          <w:rFonts w:ascii="Times New Roman" w:hAnsi="Times New Roman" w:cs="Times New Roman"/>
        </w:rPr>
        <w:footnoteRef/>
      </w:r>
      <w:r w:rsidRPr="001D08F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EC0424" w:rsidRPr="001D08FA">
        <w:rPr>
          <w:rFonts w:ascii="Times New Roman" w:hAnsi="Times New Roman" w:cs="Times New Roman"/>
          <w:lang w:val="en-US"/>
        </w:rPr>
        <w:t>IOM (2014).</w:t>
      </w:r>
      <w:proofErr w:type="gramEnd"/>
      <w:r w:rsidR="00EC0424" w:rsidRPr="001D08F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EC0424" w:rsidRPr="001D08FA">
        <w:rPr>
          <w:rFonts w:ascii="Times New Roman" w:hAnsi="Times New Roman" w:cs="Times New Roman"/>
          <w:i/>
          <w:iCs/>
          <w:sz w:val="21"/>
          <w:szCs w:val="21"/>
          <w:lang w:val="en-US"/>
        </w:rPr>
        <w:t>Glossary on Migration</w:t>
      </w:r>
      <w:r w:rsidR="00EC0424" w:rsidRPr="001D08FA">
        <w:rPr>
          <w:rFonts w:ascii="Times New Roman" w:hAnsi="Times New Roman" w:cs="Times New Roman"/>
          <w:sz w:val="21"/>
          <w:szCs w:val="21"/>
          <w:lang w:val="en-US"/>
        </w:rPr>
        <w:t>.</w:t>
      </w:r>
      <w:proofErr w:type="gramEnd"/>
      <w:r w:rsidR="00EC0424" w:rsidRPr="001D08FA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EC0424" w:rsidRPr="001D08FA">
        <w:rPr>
          <w:rFonts w:ascii="Times New Roman" w:hAnsi="Times New Roman" w:cs="Times New Roman"/>
          <w:lang w:val="en-US"/>
        </w:rPr>
        <w:t xml:space="preserve">Available at: http://publications.iom.int/system/files/pdf/iml_1_en.pdf. </w:t>
      </w:r>
    </w:p>
  </w:footnote>
  <w:footnote w:id="3">
    <w:p w14:paraId="48310D47" w14:textId="053B15A7" w:rsidR="0032105A" w:rsidRPr="008F6B04" w:rsidRDefault="0032105A">
      <w:pPr>
        <w:pStyle w:val="a4"/>
        <w:rPr>
          <w:lang w:val="en-US"/>
        </w:rPr>
      </w:pPr>
      <w:r w:rsidRPr="001D08FA">
        <w:rPr>
          <w:rStyle w:val="a6"/>
          <w:rFonts w:ascii="Times New Roman" w:hAnsi="Times New Roman" w:cs="Times New Roman"/>
        </w:rPr>
        <w:footnoteRef/>
      </w:r>
      <w:r w:rsidRPr="001D08F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8F6B04" w:rsidRPr="001D08FA">
        <w:rPr>
          <w:rFonts w:ascii="Times New Roman" w:hAnsi="Times New Roman" w:cs="Times New Roman"/>
          <w:lang w:val="en-US"/>
        </w:rPr>
        <w:t>For additional information on the MGI see: https://gmdac.iom.int/migration-governance-indicators.</w:t>
      </w:r>
      <w:proofErr w:type="gramEnd"/>
      <w:r w:rsidR="008F6B04" w:rsidRPr="008F6B04">
        <w:rPr>
          <w:lang w:val="en-US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2F73E" w14:textId="09A53D18" w:rsidR="008620A0" w:rsidRPr="008620A0" w:rsidRDefault="008620A0" w:rsidP="008620A0">
    <w:pPr>
      <w:pStyle w:val="ab"/>
      <w:jc w:val="right"/>
      <w:rPr>
        <w:rFonts w:ascii="Times New Roman" w:hAnsi="Times New Roman" w:cs="Times New Roman"/>
        <w:i/>
        <w:sz w:val="24"/>
        <w:szCs w:val="24"/>
      </w:rPr>
    </w:pPr>
    <w:r w:rsidRPr="008620A0">
      <w:rPr>
        <w:rFonts w:ascii="Times New Roman" w:hAnsi="Times New Roman" w:cs="Times New Roman"/>
        <w:i/>
        <w:sz w:val="24"/>
        <w:szCs w:val="24"/>
      </w:rPr>
      <w:t>Неофициальный перевод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A34"/>
    <w:multiLevelType w:val="hybridMultilevel"/>
    <w:tmpl w:val="C82E44E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252C5443"/>
    <w:multiLevelType w:val="hybridMultilevel"/>
    <w:tmpl w:val="6C90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F3488"/>
    <w:multiLevelType w:val="hybridMultilevel"/>
    <w:tmpl w:val="07A0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E43D1"/>
    <w:multiLevelType w:val="hybridMultilevel"/>
    <w:tmpl w:val="8D70909E"/>
    <w:lvl w:ilvl="0" w:tplc="2CE6E1BC">
      <w:start w:val="1"/>
      <w:numFmt w:val="lowerRoman"/>
      <w:lvlText w:val="(%1)"/>
      <w:lvlJc w:val="left"/>
      <w:pPr>
        <w:ind w:left="-2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5C556F36"/>
    <w:multiLevelType w:val="hybridMultilevel"/>
    <w:tmpl w:val="96CE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25E0A"/>
    <w:multiLevelType w:val="hybridMultilevel"/>
    <w:tmpl w:val="D1F67D2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75C14544"/>
    <w:multiLevelType w:val="hybridMultilevel"/>
    <w:tmpl w:val="16F8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00"/>
    <w:rsid w:val="000954F7"/>
    <w:rsid w:val="001D08FA"/>
    <w:rsid w:val="00285650"/>
    <w:rsid w:val="0032105A"/>
    <w:rsid w:val="00371A77"/>
    <w:rsid w:val="005B61F6"/>
    <w:rsid w:val="005C76AE"/>
    <w:rsid w:val="00734CFE"/>
    <w:rsid w:val="00765DFB"/>
    <w:rsid w:val="00781D2D"/>
    <w:rsid w:val="00781DA5"/>
    <w:rsid w:val="00785415"/>
    <w:rsid w:val="008541E5"/>
    <w:rsid w:val="008620A0"/>
    <w:rsid w:val="0088192F"/>
    <w:rsid w:val="008F6B04"/>
    <w:rsid w:val="00916775"/>
    <w:rsid w:val="00A24212"/>
    <w:rsid w:val="00AB2823"/>
    <w:rsid w:val="00D40106"/>
    <w:rsid w:val="00D538BB"/>
    <w:rsid w:val="00D91200"/>
    <w:rsid w:val="00EC0424"/>
    <w:rsid w:val="00E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A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781DA5"/>
  </w:style>
  <w:style w:type="table" w:styleId="a3">
    <w:name w:val="Table Grid"/>
    <w:basedOn w:val="a1"/>
    <w:uiPriority w:val="39"/>
    <w:rsid w:val="0091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t-baf-cell">
    <w:name w:val="gt-baf-cell"/>
    <w:basedOn w:val="a0"/>
    <w:rsid w:val="00A24212"/>
  </w:style>
  <w:style w:type="paragraph" w:styleId="a4">
    <w:name w:val="footnote text"/>
    <w:basedOn w:val="a"/>
    <w:link w:val="a5"/>
    <w:uiPriority w:val="99"/>
    <w:semiHidden/>
    <w:unhideWhenUsed/>
    <w:rsid w:val="000954F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54F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954F7"/>
    <w:rPr>
      <w:vertAlign w:val="superscript"/>
    </w:rPr>
  </w:style>
  <w:style w:type="paragraph" w:styleId="a7">
    <w:name w:val="List Paragraph"/>
    <w:basedOn w:val="a"/>
    <w:uiPriority w:val="34"/>
    <w:qFormat/>
    <w:rsid w:val="00AB282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34CF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4CFE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6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20A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62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20A0"/>
  </w:style>
  <w:style w:type="paragraph" w:styleId="ad">
    <w:name w:val="footer"/>
    <w:basedOn w:val="a"/>
    <w:link w:val="ae"/>
    <w:uiPriority w:val="99"/>
    <w:unhideWhenUsed/>
    <w:rsid w:val="00862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20A0"/>
  </w:style>
  <w:style w:type="character" w:styleId="af">
    <w:name w:val="Placeholder Text"/>
    <w:basedOn w:val="a0"/>
    <w:uiPriority w:val="99"/>
    <w:semiHidden/>
    <w:rsid w:val="001D08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781DA5"/>
  </w:style>
  <w:style w:type="table" w:styleId="a3">
    <w:name w:val="Table Grid"/>
    <w:basedOn w:val="a1"/>
    <w:uiPriority w:val="39"/>
    <w:rsid w:val="0091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t-baf-cell">
    <w:name w:val="gt-baf-cell"/>
    <w:basedOn w:val="a0"/>
    <w:rsid w:val="00A24212"/>
  </w:style>
  <w:style w:type="paragraph" w:styleId="a4">
    <w:name w:val="footnote text"/>
    <w:basedOn w:val="a"/>
    <w:link w:val="a5"/>
    <w:uiPriority w:val="99"/>
    <w:semiHidden/>
    <w:unhideWhenUsed/>
    <w:rsid w:val="000954F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54F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954F7"/>
    <w:rPr>
      <w:vertAlign w:val="superscript"/>
    </w:rPr>
  </w:style>
  <w:style w:type="paragraph" w:styleId="a7">
    <w:name w:val="List Paragraph"/>
    <w:basedOn w:val="a"/>
    <w:uiPriority w:val="34"/>
    <w:qFormat/>
    <w:rsid w:val="00AB282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34CF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4CFE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6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20A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62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20A0"/>
  </w:style>
  <w:style w:type="paragraph" w:styleId="ad">
    <w:name w:val="footer"/>
    <w:basedOn w:val="a"/>
    <w:link w:val="ae"/>
    <w:uiPriority w:val="99"/>
    <w:unhideWhenUsed/>
    <w:rsid w:val="00862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20A0"/>
  </w:style>
  <w:style w:type="character" w:styleId="af">
    <w:name w:val="Placeholder Text"/>
    <w:basedOn w:val="a0"/>
    <w:uiPriority w:val="99"/>
    <w:semiHidden/>
    <w:rsid w:val="001D08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sa.un.org/PopPolicy/Inquiry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om.int/sites/default/files/about-iom/migof_brochure_a4_en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ecd.org/migration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iom.i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.org/en/development/desa/population/index.s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D59F9-8844-4113-A1BD-28BC079D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13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Агзамова Вероника Радиковна</cp:lastModifiedBy>
  <cp:revision>8</cp:revision>
  <cp:lastPrinted>2019-03-05T14:05:00Z</cp:lastPrinted>
  <dcterms:created xsi:type="dcterms:W3CDTF">2019-03-03T21:55:00Z</dcterms:created>
  <dcterms:modified xsi:type="dcterms:W3CDTF">2019-04-16T12:56:00Z</dcterms:modified>
</cp:coreProperties>
</file>