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CA9D1" w14:textId="77777777" w:rsidR="007D4B37" w:rsidRDefault="00D03E04" w:rsidP="001D09CD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Цель 14: </w:t>
      </w:r>
      <w:r w:rsidR="00FC0AB1"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Сохранение и рациональное использование океанов, морей и морских ресурсов в интересах устойчивого развития</w:t>
      </w:r>
    </w:p>
    <w:p w14:paraId="763A3E97" w14:textId="0D3B780B" w:rsidR="007D4B37" w:rsidRDefault="007D4B37" w:rsidP="001D09CD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D03E04"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14.3. </w:t>
      </w:r>
      <w:r w:rsidR="00FC0AB1"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Минимизировать и ликвидировать последствия </w:t>
      </w:r>
      <w:proofErr w:type="spellStart"/>
      <w:r w:rsidR="00FC0AB1"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закисления</w:t>
      </w:r>
      <w:proofErr w:type="spellEnd"/>
      <w:r w:rsidR="00FC0AB1"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океана, в том числе благодаря развитию научного сотрудничества на всех уровнях</w:t>
      </w:r>
      <w:r w:rsidR="00D03E04"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.</w:t>
      </w:r>
    </w:p>
    <w:p w14:paraId="58487302" w14:textId="33802616" w:rsidR="00FC0AB1" w:rsidRPr="007D4B37" w:rsidRDefault="007D4B37" w:rsidP="001D09CD">
      <w:pPr>
        <w:spacing w:before="100" w:beforeAutospacing="1" w:after="100" w:afterAutospacing="1" w:line="276" w:lineRule="auto"/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 xml:space="preserve">Показатель </w:t>
      </w:r>
      <w:r w:rsidR="00D03E04" w:rsidRPr="007D4B37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 xml:space="preserve">14.3.1: </w:t>
      </w:r>
      <w:r w:rsidR="00FC0AB1" w:rsidRPr="007D4B37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>Средняя кислотность (</w:t>
      </w:r>
      <w:proofErr w:type="spellStart"/>
      <w:r w:rsidR="00FC0AB1" w:rsidRPr="007D4B37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>pH</w:t>
      </w:r>
      <w:proofErr w:type="spellEnd"/>
      <w:r w:rsidR="00FC0AB1" w:rsidRPr="007D4B37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>) морской воды, измеряемая в согласованной группе репрезентативных станций отбора проб</w:t>
      </w:r>
    </w:p>
    <w:p w14:paraId="38E80FD0" w14:textId="77777777" w:rsidR="001D09CD" w:rsidRPr="002A6775" w:rsidRDefault="001D09CD" w:rsidP="001D09C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9B37122" w14:textId="77777777" w:rsidR="001D09CD" w:rsidRPr="002A6775" w:rsidRDefault="001D09CD" w:rsidP="001D09CD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Институциональная информация</w:t>
      </w:r>
    </w:p>
    <w:p w14:paraId="340805A3" w14:textId="77777777" w:rsidR="001D09CD" w:rsidRPr="002A6775" w:rsidRDefault="001D09CD" w:rsidP="001D09C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29CCC83" w14:textId="1957B86B" w:rsidR="007D4B37" w:rsidRPr="007D4B37" w:rsidRDefault="00D03E04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я</w:t>
      </w:r>
      <w:r w:rsidR="007D4B37"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D4B37"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и)</w:t>
      </w: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:</w:t>
      </w:r>
    </w:p>
    <w:p w14:paraId="0D3EA9C7" w14:textId="345EBAF2" w:rsidR="00D03E04" w:rsidRPr="007D4B37" w:rsidRDefault="00D03E04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Межправительственная океанографическая комиссия (МОК) ЮНЕСКО</w:t>
      </w:r>
    </w:p>
    <w:p w14:paraId="2330B696" w14:textId="77777777" w:rsidR="001D09CD" w:rsidRPr="002A6775" w:rsidRDefault="001D09CD" w:rsidP="001D09C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ED96B11" w14:textId="77777777" w:rsidR="001D09CD" w:rsidRPr="002A6775" w:rsidRDefault="001D09CD" w:rsidP="001D09CD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Концепции и определения </w:t>
      </w:r>
    </w:p>
    <w:p w14:paraId="15ED2519" w14:textId="77777777" w:rsidR="001D09CD" w:rsidRPr="002A6775" w:rsidRDefault="001D09CD" w:rsidP="001D09C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16DFC55" w14:textId="237986CA" w:rsidR="008520EC" w:rsidRPr="007D4B37" w:rsidRDefault="00D03E04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Определение:</w:t>
      </w:r>
    </w:p>
    <w:p w14:paraId="4AEB1610" w14:textId="4F4D0839" w:rsidR="008520EC" w:rsidRPr="007D4B37" w:rsidRDefault="00FC0AB1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spell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За</w:t>
      </w:r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>кисление</w:t>
      </w:r>
      <w:proofErr w:type="spellEnd"/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(повышение кислотности)</w:t>
      </w:r>
      <w:r w:rsidR="00D03E04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океана </w:t>
      </w:r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>— это</w:t>
      </w:r>
      <w:r w:rsidR="00D03E04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снижение </w:t>
      </w:r>
      <w:proofErr w:type="spellStart"/>
      <w:r w:rsidR="00D03E04" w:rsidRPr="007D4B37">
        <w:rPr>
          <w:rStyle w:val="tlid-translation"/>
          <w:rFonts w:ascii="Times New Roman" w:hAnsi="Times New Roman" w:cs="Times New Roman"/>
          <w:sz w:val="24"/>
          <w:szCs w:val="24"/>
        </w:rPr>
        <w:t>pH</w:t>
      </w:r>
      <w:proofErr w:type="spellEnd"/>
      <w:r w:rsidR="00D03E04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океана в течение </w:t>
      </w:r>
      <w:proofErr w:type="gramStart"/>
      <w:r w:rsidR="00D03E04" w:rsidRPr="007D4B37">
        <w:rPr>
          <w:rStyle w:val="tlid-translation"/>
          <w:rFonts w:ascii="Times New Roman" w:hAnsi="Times New Roman" w:cs="Times New Roman"/>
          <w:sz w:val="24"/>
          <w:szCs w:val="24"/>
        </w:rPr>
        <w:t>продолжительного периода, обычно десятилетий или дольше, которое вызвано, главным образом, поглощением углекислого газа из атмосферы</w:t>
      </w:r>
      <w:r w:rsidR="008520EC" w:rsidRPr="007D4B3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D03E04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Этот показатель основан на наблюдениях, которые ограничивают углеродную систему океана и которые необходимы для описания изменчивости кислотности океана.</w:t>
      </w:r>
      <w:proofErr w:type="gramEnd"/>
      <w:r w:rsidR="00D03E04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Углеродная система в этом контексте в основном относится к четырем измеряемым параметрам: </w:t>
      </w:r>
      <w:proofErr w:type="spellStart"/>
      <w:r w:rsidR="00D03E04" w:rsidRPr="007D4B37">
        <w:rPr>
          <w:rStyle w:val="tlid-translation"/>
          <w:rFonts w:ascii="Times New Roman" w:hAnsi="Times New Roman" w:cs="Times New Roman"/>
          <w:sz w:val="24"/>
          <w:szCs w:val="24"/>
        </w:rPr>
        <w:t>pH</w:t>
      </w:r>
      <w:proofErr w:type="spellEnd"/>
      <w:r w:rsidR="00D03E04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(концентрация ионов водорода в логарифмической шкале), DIC (CT; общее количество растворенного неорганического углерода), pCO2 (парциальное давление диоксида углерода) и TA (AT, общая щелочность). Среднее, как здесь используется, равно средневзвешенному годовому значению.</w:t>
      </w:r>
    </w:p>
    <w:p w14:paraId="173D2763" w14:textId="439E25FB" w:rsidR="00D03E04" w:rsidRPr="007D4B37" w:rsidRDefault="00D03E04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gram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Согласованный набор репрезентативных станций </w:t>
      </w:r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>сбора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проб - это участки, частота измерений которых достаточна для описания изменчивости и тенденций в карбонатной химии с целью предоставления критической информации о подверженности и воздействии на морские системы </w:t>
      </w:r>
      <w:proofErr w:type="spellStart"/>
      <w:r w:rsidR="00FC0AB1" w:rsidRPr="007D4B37">
        <w:rPr>
          <w:rStyle w:val="tlid-translation"/>
          <w:rFonts w:ascii="Times New Roman" w:hAnsi="Times New Roman" w:cs="Times New Roman"/>
          <w:sz w:val="24"/>
          <w:szCs w:val="24"/>
        </w:rPr>
        <w:t>за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кислени</w:t>
      </w:r>
      <w:r w:rsidR="00FC0AB1" w:rsidRPr="007D4B37">
        <w:rPr>
          <w:rStyle w:val="tlid-translation"/>
          <w:rFonts w:ascii="Times New Roman" w:hAnsi="Times New Roman" w:cs="Times New Roman"/>
          <w:sz w:val="24"/>
          <w:szCs w:val="24"/>
        </w:rPr>
        <w:t>я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океана, и которые предоставля</w:t>
      </w:r>
      <w:r w:rsidR="00FC0AB1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ют данные в достаточной степени 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качеств</w:t>
      </w:r>
      <w:r w:rsidR="00FC0AB1" w:rsidRPr="007D4B37">
        <w:rPr>
          <w:rStyle w:val="tlid-translation"/>
          <w:rFonts w:ascii="Times New Roman" w:hAnsi="Times New Roman" w:cs="Times New Roman"/>
          <w:sz w:val="24"/>
          <w:szCs w:val="24"/>
        </w:rPr>
        <w:t>енные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и с исчерпывающей информацией метаданных, чтобы позволить интеграцию с данными </w:t>
      </w:r>
      <w:r w:rsidR="00F21E5A" w:rsidRPr="007D4B37">
        <w:rPr>
          <w:rStyle w:val="tlid-translation"/>
          <w:rFonts w:ascii="Times New Roman" w:hAnsi="Times New Roman" w:cs="Times New Roman"/>
          <w:sz w:val="24"/>
          <w:szCs w:val="24"/>
        </w:rPr>
        <w:t>из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других </w:t>
      </w:r>
      <w:r w:rsidR="00F21E5A" w:rsidRPr="007D4B37">
        <w:rPr>
          <w:rStyle w:val="tlid-translation"/>
          <w:rFonts w:ascii="Times New Roman" w:hAnsi="Times New Roman" w:cs="Times New Roman"/>
          <w:sz w:val="24"/>
          <w:szCs w:val="24"/>
        </w:rPr>
        <w:t>мест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в стране.</w:t>
      </w:r>
      <w:proofErr w:type="gramEnd"/>
    </w:p>
    <w:p w14:paraId="6C892B5C" w14:textId="01C682D5" w:rsidR="00F21E5A" w:rsidRPr="007D4B37" w:rsidRDefault="00F21E5A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lastRenderedPageBreak/>
        <w:t>Обоснование:</w:t>
      </w:r>
    </w:p>
    <w:p w14:paraId="6E7F5641" w14:textId="578F7C5E" w:rsidR="008520EC" w:rsidRPr="007D4B37" w:rsidRDefault="008520EC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Океан ежегодно поглощает около 30% антропогенного углерода из атмосферы. Этот углекислый газ (CO2) вступает в реакцию с морской водой, изменяя ее химический состав и постепенно окисляя океан. Показано, что наблюдаемое снижение </w:t>
      </w:r>
      <w:proofErr w:type="spell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pH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морской воды влияет на целый ряд организмов и экосистем, биоразнообразие и продовольственную безопасность. Это может отрицательно сказаться на рыболовстве и аквакультуре, а также на других услугах, предоставляемых океаном, включая туризм, транспорт и защиту прибрежных районов. Наблюдения за последние 20-30 лет показали четкую тенденцию </w:t>
      </w:r>
      <w:proofErr w:type="spellStart"/>
      <w:r w:rsidR="00F21E5A" w:rsidRPr="007D4B37">
        <w:rPr>
          <w:rStyle w:val="tlid-translation"/>
          <w:rFonts w:ascii="Times New Roman" w:hAnsi="Times New Roman" w:cs="Times New Roman"/>
          <w:sz w:val="24"/>
          <w:szCs w:val="24"/>
        </w:rPr>
        <w:t>за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кисления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океана (снижения рН) в местах открытого океана. </w:t>
      </w:r>
      <w:r w:rsidR="00E727E9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Однако для прибрежных районов эта картина часто осложняется естественными процессами, такими, как поступление пресной воды, </w:t>
      </w:r>
      <w:proofErr w:type="gramStart"/>
      <w:r w:rsidR="00E727E9" w:rsidRPr="007D4B37">
        <w:rPr>
          <w:rStyle w:val="tlid-translation"/>
          <w:rFonts w:ascii="Times New Roman" w:hAnsi="Times New Roman" w:cs="Times New Roman"/>
          <w:sz w:val="24"/>
          <w:szCs w:val="24"/>
        </w:rPr>
        <w:t>прибрежный</w:t>
      </w:r>
      <w:proofErr w:type="gramEnd"/>
      <w:r w:rsidR="00E727E9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7E9" w:rsidRPr="007D4B37">
        <w:rPr>
          <w:rStyle w:val="tlid-translation"/>
          <w:rFonts w:ascii="Times New Roman" w:hAnsi="Times New Roman" w:cs="Times New Roman"/>
          <w:sz w:val="24"/>
          <w:szCs w:val="24"/>
        </w:rPr>
        <w:t>апвеллинг</w:t>
      </w:r>
      <w:proofErr w:type="spellEnd"/>
      <w:r w:rsidR="00E727E9" w:rsidRPr="007D4B37">
        <w:rPr>
          <w:rStyle w:val="tlid-translation"/>
          <w:rFonts w:ascii="Times New Roman" w:hAnsi="Times New Roman" w:cs="Times New Roman"/>
          <w:sz w:val="24"/>
          <w:szCs w:val="24"/>
        </w:rPr>
        <w:t>, биологическая деятельность и температурные изменения.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E727E9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Эти факторы затрудняют прогнозирование и возможные ответные меры управления в связи с </w:t>
      </w:r>
      <w:proofErr w:type="spellStart"/>
      <w:r w:rsidR="00E727E9" w:rsidRPr="007D4B37">
        <w:rPr>
          <w:rStyle w:val="tlid-translation"/>
          <w:rFonts w:ascii="Times New Roman" w:hAnsi="Times New Roman" w:cs="Times New Roman"/>
          <w:sz w:val="24"/>
          <w:szCs w:val="24"/>
        </w:rPr>
        <w:t>закислением</w:t>
      </w:r>
      <w:proofErr w:type="spellEnd"/>
      <w:r w:rsidR="00E727E9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океана в </w:t>
      </w:r>
      <w:proofErr w:type="spellStart"/>
      <w:r w:rsidR="00E727E9" w:rsidRPr="007D4B37">
        <w:rPr>
          <w:rStyle w:val="tlid-translation"/>
          <w:rFonts w:ascii="Times New Roman" w:hAnsi="Times New Roman" w:cs="Times New Roman"/>
          <w:sz w:val="24"/>
          <w:szCs w:val="24"/>
        </w:rPr>
        <w:t>высокодинамичных</w:t>
      </w:r>
      <w:proofErr w:type="spellEnd"/>
      <w:r w:rsidR="00E727E9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и продуктивных прибрежных районах.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В этой методологии содержатся рекомендации о том, как улучшить мониторинг, что измерять и что сообщать</w:t>
      </w:r>
      <w:r w:rsidRPr="007D4B37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. Соответствующие файлы данных и метаданных гарантируют, что собранные данные прослеживаются и могут контролировать качество, храниться и </w:t>
      </w:r>
      <w:proofErr w:type="gram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распространяться</w:t>
      </w:r>
      <w:proofErr w:type="gram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таким образом, который позволяет использовать их для лучшего понимания и прогнозирования наблюдений за </w:t>
      </w:r>
      <w:proofErr w:type="spellStart"/>
      <w:r w:rsidR="00E727E9" w:rsidRPr="007D4B37">
        <w:rPr>
          <w:rStyle w:val="tlid-translation"/>
          <w:rFonts w:ascii="Times New Roman" w:hAnsi="Times New Roman" w:cs="Times New Roman"/>
          <w:sz w:val="24"/>
          <w:szCs w:val="24"/>
        </w:rPr>
        <w:t>за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кислением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океана.</w:t>
      </w:r>
    </w:p>
    <w:p w14:paraId="7392FF86" w14:textId="77777777" w:rsidR="007D4B37" w:rsidRDefault="007D4B37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36AF1D07" w14:textId="77777777" w:rsidR="00E727E9" w:rsidRPr="007D4B37" w:rsidRDefault="00E727E9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Основные понятия:</w:t>
      </w:r>
    </w:p>
    <w:p w14:paraId="79F77994" w14:textId="1574DD05" w:rsidR="008520EC" w:rsidRPr="007D4B37" w:rsidRDefault="00E727E9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spell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За</w:t>
      </w:r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>кисление</w:t>
      </w:r>
      <w:proofErr w:type="spellEnd"/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океана вызвано увеличением количества растворенного атмосферного CO2 в морской воде. Средняя морская кислотность выражается как </w:t>
      </w:r>
      <w:proofErr w:type="spellStart"/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>pH</w:t>
      </w:r>
      <w:proofErr w:type="spellEnd"/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, концентрация ионов водорода в логарифмическом масштабе. Чтобы иметь возможность ограничить химический состав карбонатов морской воды, необходимо </w:t>
      </w:r>
      <w:proofErr w:type="gramStart"/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>измерить</w:t>
      </w:r>
      <w:proofErr w:type="gramEnd"/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по меньшей мере два из четырех параметров, а именно </w:t>
      </w:r>
      <w:proofErr w:type="spellStart"/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>pH</w:t>
      </w:r>
      <w:proofErr w:type="spellEnd"/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, pCO2, DIC (CT) и TA (AT). </w:t>
      </w:r>
      <w:proofErr w:type="spellStart"/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>pH</w:t>
      </w:r>
      <w:proofErr w:type="spellEnd"/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(концентрация ионов водорода в логарифмической шкале, выраженная в общей шкале), DIC (общее количество растворенного неорганического углерода, в </w:t>
      </w:r>
      <w:proofErr w:type="spellStart"/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кг</w:t>
      </w:r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  <w:vertAlign w:val="superscript"/>
        </w:rPr>
        <w:t>-1</w:t>
      </w:r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>), pCO2 (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парциальное давление углекислого газа</w:t>
      </w:r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>ппт</w:t>
      </w:r>
      <w:proofErr w:type="spellEnd"/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или мкм) и TA (AT, общая щелочность, в </w:t>
      </w:r>
      <w:proofErr w:type="spellStart"/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кг</w:t>
      </w:r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  <w:vertAlign w:val="superscript"/>
        </w:rPr>
        <w:t>-1</w:t>
      </w:r>
      <w:r w:rsidR="008520EC" w:rsidRPr="007D4B37">
        <w:rPr>
          <w:rStyle w:val="tlid-translation"/>
          <w:rFonts w:ascii="Times New Roman" w:hAnsi="Times New Roman" w:cs="Times New Roman"/>
          <w:sz w:val="24"/>
          <w:szCs w:val="24"/>
        </w:rPr>
        <w:t>).</w:t>
      </w:r>
    </w:p>
    <w:p w14:paraId="6961AE5D" w14:textId="77777777" w:rsidR="007D4B37" w:rsidRDefault="007D4B37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719B338B" w14:textId="77777777" w:rsidR="00E727E9" w:rsidRPr="007D4B37" w:rsidRDefault="00A812A4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14:paraId="3FD4BFB1" w14:textId="7BEA6D0C" w:rsidR="00D66272" w:rsidRPr="007D4B37" w:rsidRDefault="00A812A4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Методология для этого </w:t>
      </w:r>
      <w:r w:rsidR="00D66272" w:rsidRPr="007D4B37">
        <w:rPr>
          <w:rStyle w:val="tlid-translation"/>
          <w:rFonts w:ascii="Times New Roman" w:hAnsi="Times New Roman" w:cs="Times New Roman"/>
          <w:sz w:val="24"/>
          <w:szCs w:val="24"/>
        </w:rPr>
        <w:t>показателя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была разработана при технической поддержке экспертов в области </w:t>
      </w:r>
      <w:proofErr w:type="spellStart"/>
      <w:r w:rsidR="00D66272" w:rsidRPr="007D4B37">
        <w:rPr>
          <w:rStyle w:val="tlid-translation"/>
          <w:rFonts w:ascii="Times New Roman" w:hAnsi="Times New Roman" w:cs="Times New Roman"/>
          <w:sz w:val="24"/>
          <w:szCs w:val="24"/>
        </w:rPr>
        <w:t>за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кисления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океана. Он предоставляет общепринятые и адаптированные руководящие принципы, и лучшие практики, установленные учеными и опубликованные в рецензируемой литературе.</w:t>
      </w:r>
    </w:p>
    <w:p w14:paraId="6278FCDF" w14:textId="70AFE848" w:rsidR="00A812A4" w:rsidRDefault="00A812A4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Поскольку это очень сложный </w:t>
      </w:r>
      <w:r w:rsidR="00D66272" w:rsidRPr="007D4B37">
        <w:rPr>
          <w:rStyle w:val="tlid-translation"/>
          <w:rFonts w:ascii="Times New Roman" w:hAnsi="Times New Roman" w:cs="Times New Roman"/>
          <w:sz w:val="24"/>
          <w:szCs w:val="24"/>
        </w:rPr>
        <w:t>показатель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, техническая инфраструктура, необходимая для правильного измерения, является потенциально сдерживающим фактором. Методология 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="00D66272" w:rsidRPr="007D4B37">
        <w:rPr>
          <w:rStyle w:val="tlid-translation"/>
          <w:rFonts w:ascii="Times New Roman" w:hAnsi="Times New Roman" w:cs="Times New Roman"/>
          <w:sz w:val="24"/>
          <w:szCs w:val="24"/>
        </w:rPr>
        <w:t>показателя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описывает, как избежать проблем </w:t>
      </w:r>
      <w:r w:rsidR="00D66272" w:rsidRPr="007D4B37">
        <w:rPr>
          <w:rStyle w:val="tlid-translation"/>
          <w:rFonts w:ascii="Times New Roman" w:hAnsi="Times New Roman" w:cs="Times New Roman"/>
          <w:sz w:val="24"/>
          <w:szCs w:val="24"/>
        </w:rPr>
        <w:t>сопоставимости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данных, которые были проблем</w:t>
      </w:r>
      <w:r w:rsidR="00D66272" w:rsidRPr="007D4B37">
        <w:rPr>
          <w:rStyle w:val="tlid-translation"/>
          <w:rFonts w:ascii="Times New Roman" w:hAnsi="Times New Roman" w:cs="Times New Roman"/>
          <w:sz w:val="24"/>
          <w:szCs w:val="24"/>
        </w:rPr>
        <w:t>ными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в прошлом, ошиб</w:t>
      </w:r>
      <w:r w:rsidR="00D66272" w:rsidRPr="007D4B37">
        <w:rPr>
          <w:rStyle w:val="tlid-translation"/>
          <w:rFonts w:ascii="Times New Roman" w:hAnsi="Times New Roman" w:cs="Times New Roman"/>
          <w:sz w:val="24"/>
          <w:szCs w:val="24"/>
        </w:rPr>
        <w:t>ок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измерения и дает рекомендации по наиболее подходящим техническим и методологическим процедурам, чтобы гарантировать высококачественные данные, которые могут использоваться для глобальной оценки </w:t>
      </w:r>
      <w:proofErr w:type="spellStart"/>
      <w:r w:rsidR="00D66272" w:rsidRPr="007D4B37">
        <w:rPr>
          <w:rStyle w:val="tlid-translation"/>
          <w:rFonts w:ascii="Times New Roman" w:hAnsi="Times New Roman" w:cs="Times New Roman"/>
          <w:sz w:val="24"/>
          <w:szCs w:val="24"/>
        </w:rPr>
        <w:t>за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кислени</w:t>
      </w:r>
      <w:r w:rsidR="00D66272" w:rsidRPr="007D4B37">
        <w:rPr>
          <w:rStyle w:val="tlid-translation"/>
          <w:rFonts w:ascii="Times New Roman" w:hAnsi="Times New Roman" w:cs="Times New Roman"/>
          <w:sz w:val="24"/>
          <w:szCs w:val="24"/>
        </w:rPr>
        <w:t>я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океана. Добавление метаданных к методологии для этого показателя имеет решающее значение для повышения прослеживаемости и прозрачности данных путем предоставления информации о точном используемом оборудовании и методологии, а также указания местоположения, сопутствующих биогеохимических переменных и лиц, проводящ</w:t>
      </w:r>
      <w:r w:rsidR="00D66272" w:rsidRPr="007D4B37">
        <w:rPr>
          <w:rStyle w:val="tlid-translation"/>
          <w:rFonts w:ascii="Times New Roman" w:hAnsi="Times New Roman" w:cs="Times New Roman"/>
          <w:sz w:val="24"/>
          <w:szCs w:val="24"/>
        </w:rPr>
        <w:t>их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измерение.</w:t>
      </w:r>
    </w:p>
    <w:p w14:paraId="529E43D6" w14:textId="77777777" w:rsidR="001D09CD" w:rsidRPr="002A6775" w:rsidRDefault="001D09CD" w:rsidP="001D09C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C9D517F" w14:textId="77777777" w:rsidR="001D09CD" w:rsidRPr="002A6775" w:rsidRDefault="001D09CD" w:rsidP="001D09CD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Методология </w:t>
      </w:r>
    </w:p>
    <w:p w14:paraId="5A4C2610" w14:textId="77777777" w:rsidR="001D09CD" w:rsidRPr="002A6775" w:rsidRDefault="001D09CD" w:rsidP="001D09C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2D8D03F" w14:textId="5D22194E" w:rsidR="00D66272" w:rsidRPr="007D4B37" w:rsidRDefault="00A812A4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i/>
          <w:sz w:val="24"/>
          <w:szCs w:val="24"/>
        </w:rPr>
        <w:t>Подробна</w:t>
      </w:r>
      <w:r w:rsidR="00D66272" w:rsidRPr="007D4B37">
        <w:rPr>
          <w:rStyle w:val="tlid-translation"/>
          <w:rFonts w:ascii="Times New Roman" w:hAnsi="Times New Roman" w:cs="Times New Roman"/>
          <w:b/>
          <w:i/>
          <w:sz w:val="24"/>
          <w:szCs w:val="24"/>
        </w:rPr>
        <w:t>я информация в Приложении I IOC/EC-LI/</w:t>
      </w:r>
      <w:r w:rsidRPr="007D4B37">
        <w:rPr>
          <w:rStyle w:val="tlid-translation"/>
          <w:rFonts w:ascii="Times New Roman" w:hAnsi="Times New Roman" w:cs="Times New Roman"/>
          <w:b/>
          <w:i/>
          <w:sz w:val="24"/>
          <w:szCs w:val="24"/>
        </w:rPr>
        <w:t xml:space="preserve">2 </w:t>
      </w:r>
      <w:proofErr w:type="spellStart"/>
      <w:r w:rsidRPr="007D4B37">
        <w:rPr>
          <w:rStyle w:val="tlid-translation"/>
          <w:rFonts w:ascii="Times New Roman" w:hAnsi="Times New Roman" w:cs="Times New Roman"/>
          <w:b/>
          <w:i/>
          <w:sz w:val="24"/>
          <w:szCs w:val="24"/>
        </w:rPr>
        <w:t>Annex</w:t>
      </w:r>
      <w:proofErr w:type="spellEnd"/>
      <w:r w:rsidRPr="007D4B37">
        <w:rPr>
          <w:rStyle w:val="tlid-translation"/>
          <w:rFonts w:ascii="Times New Roman" w:hAnsi="Times New Roman" w:cs="Times New Roman"/>
          <w:b/>
          <w:i/>
          <w:sz w:val="24"/>
          <w:szCs w:val="24"/>
        </w:rPr>
        <w:t xml:space="preserve"> 6</w:t>
      </w:r>
    </w:p>
    <w:p w14:paraId="304BF0C4" w14:textId="52B9B38A" w:rsidR="00A812A4" w:rsidRPr="007D4B37" w:rsidRDefault="00A812A4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Метод расчета</w:t>
      </w:r>
      <w:r w:rsidR="00D66272"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:</w:t>
      </w: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9F1A23" w14:textId="77350D21" w:rsidR="00A812A4" w:rsidRPr="007D4B37" w:rsidRDefault="00A812A4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Этот </w:t>
      </w:r>
      <w:r w:rsidR="00D66272" w:rsidRPr="007D4B37">
        <w:rPr>
          <w:rStyle w:val="tlid-translation"/>
          <w:rFonts w:ascii="Times New Roman" w:hAnsi="Times New Roman" w:cs="Times New Roman"/>
          <w:sz w:val="24"/>
          <w:szCs w:val="24"/>
        </w:rPr>
        <w:t>показатель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требует сбора нескольких наблюдений в форме отдельных точек данных для определения изменчивости кислотности океана. </w:t>
      </w:r>
      <w:proofErr w:type="gram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Отдельные точки данных для </w:t>
      </w:r>
      <w:proofErr w:type="spell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pH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либо измеряются напрямую, либо могут быть рассчитаны на основе данных для двух других параметров </w:t>
      </w:r>
      <w:r w:rsidR="00D66272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карбонатной 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химии, такими как TA (AT), DIC (CT) и pCO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  <w:vertAlign w:val="subscript"/>
        </w:rPr>
        <w:t>2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proofErr w:type="gram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Инструменты расчета, разработанные специалистами в данной области, находятся в свободном доступе, и они представлены и включены в методологию. Среднее значение </w:t>
      </w:r>
      <w:proofErr w:type="spell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pH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определяется как среднегодовое равное взвешенное значение для нескольких точек данных на репрезентативных станциях отбора проб. Точное количество образцов и точек данных зависит от уровня изменчивости кислотности океана на данном участке. Минимальное количество образцов должно позволять характеризовать сезонный цикл на </w:t>
      </w:r>
      <w:r w:rsidR="00D66272" w:rsidRPr="007D4B37">
        <w:rPr>
          <w:rStyle w:val="tlid-translation"/>
          <w:rFonts w:ascii="Times New Roman" w:hAnsi="Times New Roman" w:cs="Times New Roman"/>
          <w:sz w:val="24"/>
          <w:szCs w:val="24"/>
        </w:rPr>
        <w:t>месте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. Подробные рекомендации по минимальному количеству необходимых наблюдений приведены в Методологии. </w:t>
      </w:r>
      <w:proofErr w:type="gram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В дополнение к значению данных следует сообщать стандартное отклонение и общий диапазон (измеренные минимальное и максимальное значения), а также базовые данные, используемые для обеспечения прослеживаемости и прозрачности (информация метаданных).</w:t>
      </w:r>
      <w:proofErr w:type="gram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Если имеются исторические данные, их следует опубликовать, чтобы можно было рассчитать скорость изменения и сравнить естественную изменчивость и антропогенное воздействие.</w:t>
      </w:r>
    </w:p>
    <w:p w14:paraId="0F407EA5" w14:textId="77777777" w:rsidR="007D4B37" w:rsidRDefault="007D4B37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0CE5953E" w14:textId="4DAA6D6E" w:rsidR="00D66272" w:rsidRPr="007D4B37" w:rsidRDefault="00D66272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Дезагрегация</w:t>
      </w:r>
      <w:r w:rsidR="00A812A4"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:</w:t>
      </w:r>
    </w:p>
    <w:p w14:paraId="1D033790" w14:textId="77777777" w:rsidR="00D66272" w:rsidRPr="007D4B37" w:rsidRDefault="00A812A4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Страны предоставляют полные наборы данных с соответствующими данными по конкретным участкам и файлами метаданных.</w:t>
      </w:r>
    </w:p>
    <w:p w14:paraId="384745ED" w14:textId="77777777" w:rsidR="007D4B37" w:rsidRDefault="007D4B37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549BDC00" w14:textId="287B943D" w:rsidR="00D66272" w:rsidRPr="007D4B37" w:rsidRDefault="00A812A4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lastRenderedPageBreak/>
        <w:t xml:space="preserve">Обработка </w:t>
      </w:r>
      <w:r w:rsidR="00D66272"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отсутствующих</w:t>
      </w: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значений:</w:t>
      </w:r>
    </w:p>
    <w:p w14:paraId="37F02249" w14:textId="4166E549" w:rsidR="00D66272" w:rsidRPr="007D4B37" w:rsidRDefault="00D66272" w:rsidP="007D4B37">
      <w:pPr>
        <w:pStyle w:val="af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>Н</w:t>
      </w:r>
      <w:r w:rsidR="00A812A4" w:rsidRPr="007D4B37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>а уровне страны</w:t>
      </w:r>
    </w:p>
    <w:p w14:paraId="302F004D" w14:textId="492E9607" w:rsidR="00D66272" w:rsidRPr="007D4B37" w:rsidRDefault="00A812A4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Некоторые отсутствующие значения могут быть смоделированы или рассчитаны, если существуют установленные методологии (см. Рекомендации по расчету карбонатн</w:t>
      </w:r>
      <w:r w:rsidR="00D66272" w:rsidRPr="007D4B37">
        <w:rPr>
          <w:rStyle w:val="tlid-translation"/>
          <w:rFonts w:ascii="Times New Roman" w:hAnsi="Times New Roman" w:cs="Times New Roman"/>
          <w:sz w:val="24"/>
          <w:szCs w:val="24"/>
        </w:rPr>
        <w:t>ой системы в Приложении 6 IOC/EC-LI/2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).</w:t>
      </w:r>
    </w:p>
    <w:p w14:paraId="1999B8DC" w14:textId="2614F6AB" w:rsidR="00D66272" w:rsidRPr="007D4B37" w:rsidRDefault="00D66272" w:rsidP="007D4B37">
      <w:pPr>
        <w:pStyle w:val="af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>Н</w:t>
      </w:r>
      <w:r w:rsidR="00A812A4" w:rsidRPr="007D4B37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>а региональном и глобальном уровнях</w:t>
      </w:r>
    </w:p>
    <w:p w14:paraId="7ED008A1" w14:textId="1C8BD093" w:rsidR="00D66272" w:rsidRPr="007D4B37" w:rsidRDefault="00A812A4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Региональн</w:t>
      </w:r>
      <w:r w:rsidR="00D66272" w:rsidRPr="007D4B37">
        <w:rPr>
          <w:rStyle w:val="tlid-translation"/>
          <w:rFonts w:ascii="Times New Roman" w:hAnsi="Times New Roman" w:cs="Times New Roman"/>
          <w:sz w:val="24"/>
          <w:szCs w:val="24"/>
        </w:rPr>
        <w:t>о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е агре</w:t>
      </w:r>
      <w:r w:rsidR="00D66272" w:rsidRPr="007D4B37">
        <w:rPr>
          <w:rStyle w:val="tlid-translation"/>
          <w:rFonts w:ascii="Times New Roman" w:hAnsi="Times New Roman" w:cs="Times New Roman"/>
          <w:sz w:val="24"/>
          <w:szCs w:val="24"/>
        </w:rPr>
        <w:t>гирование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допустим</w:t>
      </w:r>
      <w:r w:rsidR="00D66272" w:rsidRPr="007D4B37">
        <w:rPr>
          <w:rStyle w:val="tlid-translation"/>
          <w:rFonts w:ascii="Times New Roman" w:hAnsi="Times New Roman" w:cs="Times New Roman"/>
          <w:sz w:val="24"/>
          <w:szCs w:val="24"/>
        </w:rPr>
        <w:t>о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, если более 50% прибрежных стран сообщили значения.</w:t>
      </w:r>
    </w:p>
    <w:p w14:paraId="32C14ABA" w14:textId="77777777" w:rsidR="007D4B37" w:rsidRDefault="007D4B37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28211842" w14:textId="44526AE9" w:rsidR="00D66272" w:rsidRPr="007D4B37" w:rsidRDefault="00A812A4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Региональные </w:t>
      </w:r>
      <w:r w:rsidR="005E6E33"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показатели</w:t>
      </w: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:</w:t>
      </w:r>
    </w:p>
    <w:p w14:paraId="495467AA" w14:textId="77777777" w:rsidR="007D4B37" w:rsidRDefault="00A812A4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Каждая страна или назначенный IODE Национальный центр ок</w:t>
      </w:r>
      <w:r w:rsidR="005E6E33" w:rsidRPr="007D4B37">
        <w:rPr>
          <w:rStyle w:val="tlid-translation"/>
          <w:rFonts w:ascii="Times New Roman" w:hAnsi="Times New Roman" w:cs="Times New Roman"/>
          <w:sz w:val="24"/>
          <w:szCs w:val="24"/>
        </w:rPr>
        <w:t>еанографических данных (NODC)/</w:t>
      </w:r>
      <w:proofErr w:type="spell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Data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Unit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(ADU)</w:t>
      </w:r>
      <w:r w:rsidR="00DF2F1B" w:rsidRPr="007D4B37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будут предоставлять ежегодно обновляемые наборы данных. Агрегирование по регионам потребует данных сопоставимого качества, и все соответствующие метаданные с информацией по конкретному участку должны быть включены в наборы данных. Из-за изменчивости измерений и преобладания районов с высокой изменчивостью кислотности океана совокупность средних значений измерений (</w:t>
      </w:r>
      <w:proofErr w:type="gram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равное</w:t>
      </w:r>
      <w:proofErr w:type="gram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взвешенному среднегодовому значению) по прибрежным морским местообитаниям и типам экосистем трудно интерпретировать и поэтому не рекомендуется.</w:t>
      </w:r>
    </w:p>
    <w:p w14:paraId="66ABAE7E" w14:textId="77777777" w:rsidR="007D4B37" w:rsidRDefault="007D4B37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8B92E" w14:textId="4619CBC9" w:rsidR="00A812A4" w:rsidRPr="007D4B37" w:rsidRDefault="00A812A4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Источники расхождений</w:t>
      </w:r>
      <w:r w:rsidR="005E6E33"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: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p w14:paraId="64876452" w14:textId="3BE1ACA8" w:rsidR="00A812A4" w:rsidRPr="007D4B37" w:rsidRDefault="00A812A4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Поскольку этот показатель учитывает только данные, представленные только государствами-членами, нет расхождений между оценками и представленными наборами данных. В прошлом различия между странами в измерении </w:t>
      </w:r>
      <w:proofErr w:type="spell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pH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и других данных по </w:t>
      </w:r>
      <w:proofErr w:type="spellStart"/>
      <w:r w:rsidR="005E6E33" w:rsidRPr="007D4B37">
        <w:rPr>
          <w:rStyle w:val="tlid-translation"/>
          <w:rFonts w:ascii="Times New Roman" w:hAnsi="Times New Roman" w:cs="Times New Roman"/>
          <w:sz w:val="24"/>
          <w:szCs w:val="24"/>
        </w:rPr>
        <w:t>за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кислению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океана были в основном связаны с техническими трудностями и отсутствием всеобъемлющих руководящих принципов для наилучшей практики измерений. Настоящая Методология и содержащиеся в ней руководящие принципы содержат подробные инструкции по измерению, сбору, обработке и контролю качества данных таким образом, чтобы страны могли избежать будущих расхождений.</w:t>
      </w:r>
    </w:p>
    <w:p w14:paraId="478A5C41" w14:textId="77777777" w:rsidR="005E6E33" w:rsidRPr="007D4B37" w:rsidRDefault="005E6E33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39E7B8FA" w14:textId="77777777" w:rsidR="005E6E33" w:rsidRPr="007D4B37" w:rsidRDefault="00DF2F1B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Методы и руководства, доступные странам для сбора данных на национальном уровне:</w:t>
      </w:r>
    </w:p>
    <w:p w14:paraId="4E8E6545" w14:textId="77777777" w:rsidR="005E6E33" w:rsidRPr="007D4B37" w:rsidRDefault="00DF2F1B" w:rsidP="007D4B37">
      <w:pPr>
        <w:pStyle w:val="af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 xml:space="preserve">Методология </w:t>
      </w:r>
      <w:r w:rsidR="005E6E33" w:rsidRPr="007D4B37">
        <w:rPr>
          <w:rStyle w:val="tlid-translation"/>
          <w:rFonts w:ascii="Times New Roman" w:hAnsi="Times New Roman" w:cs="Times New Roman"/>
          <w:sz w:val="24"/>
          <w:szCs w:val="24"/>
        </w:rPr>
        <w:t>показателя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ЦУР 14.3.1, представленная здесь, содержит рекомендации по сбору измерений для </w:t>
      </w:r>
      <w:r w:rsidR="005E6E33" w:rsidRPr="007D4B37">
        <w:rPr>
          <w:rStyle w:val="tlid-translation"/>
          <w:rFonts w:ascii="Times New Roman" w:hAnsi="Times New Roman" w:cs="Times New Roman"/>
          <w:sz w:val="24"/>
          <w:szCs w:val="24"/>
        </w:rPr>
        <w:t>показателя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. Файлы данных и метаданных, в которые должны быть собраны все соответствующие измерения, будут переданы в центр обработки данных или отправителю данных. Эти данные будут собираться соответствующими национальными центрами данных, такими как национальные статистические </w:t>
      </w:r>
      <w:r w:rsidR="005E6E33" w:rsidRPr="007D4B37">
        <w:rPr>
          <w:rStyle w:val="tlid-translation"/>
          <w:rFonts w:ascii="Times New Roman" w:hAnsi="Times New Roman" w:cs="Times New Roman"/>
          <w:sz w:val="24"/>
          <w:szCs w:val="24"/>
        </w:rPr>
        <w:t>организации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(НС</w:t>
      </w:r>
      <w:r w:rsidR="005E6E33" w:rsidRPr="007D4B37">
        <w:rPr>
          <w:rStyle w:val="tlid-translation"/>
          <w:rFonts w:ascii="Times New Roman" w:hAnsi="Times New Roman" w:cs="Times New Roman"/>
          <w:sz w:val="24"/>
          <w:szCs w:val="24"/>
        </w:rPr>
        <w:t>О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) и национальные центры океанографических данных (Н</w:t>
      </w:r>
      <w:r w:rsidR="005E6E33" w:rsidRPr="007D4B37">
        <w:rPr>
          <w:rStyle w:val="tlid-translation"/>
          <w:rFonts w:ascii="Times New Roman" w:hAnsi="Times New Roman" w:cs="Times New Roman"/>
          <w:sz w:val="24"/>
          <w:szCs w:val="24"/>
        </w:rPr>
        <w:t>ЦОД), и передаваться агентству-куратору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5E6E33" w:rsidRPr="007D4B37">
        <w:rPr>
          <w:rStyle w:val="tlid-translation"/>
          <w:rFonts w:ascii="Times New Roman" w:hAnsi="Times New Roman" w:cs="Times New Roman"/>
          <w:sz w:val="24"/>
          <w:szCs w:val="24"/>
        </w:rPr>
        <w:t>показателя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, МОК ЮНЕСКО</w:t>
      </w:r>
      <w:r w:rsidRPr="007D4B37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5E6E33" w:rsidRPr="007D4B37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7AC78207" w14:textId="5A27A046" w:rsidR="005E6E33" w:rsidRPr="007D4B37" w:rsidRDefault="00DF2F1B" w:rsidP="007D4B37">
      <w:pPr>
        <w:pStyle w:val="af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Методология </w:t>
      </w:r>
      <w:r w:rsidR="005E6E33" w:rsidRPr="007D4B37">
        <w:rPr>
          <w:rStyle w:val="tlid-translation"/>
          <w:rFonts w:ascii="Times New Roman" w:hAnsi="Times New Roman" w:cs="Times New Roman"/>
          <w:sz w:val="24"/>
          <w:szCs w:val="24"/>
        </w:rPr>
        <w:t>показателя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включает обзор утверждений о наилучшей практике и ссылки на несколько Стандартных операционных процедур (СОП). Эти процедуры представляют собой лучшие практики, собранные ведущим исследователем в этой области, и были </w:t>
      </w:r>
      <w:r w:rsidR="005E6E33" w:rsidRPr="007D4B37">
        <w:rPr>
          <w:rStyle w:val="tlid-translation"/>
          <w:rFonts w:ascii="Times New Roman" w:hAnsi="Times New Roman" w:cs="Times New Roman"/>
          <w:sz w:val="24"/>
          <w:szCs w:val="24"/>
        </w:rPr>
        <w:t>выложены для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свободно</w:t>
      </w:r>
      <w:r w:rsidR="005E6E33" w:rsidRPr="007D4B37">
        <w:rPr>
          <w:rStyle w:val="tlid-translation"/>
          <w:rFonts w:ascii="Times New Roman" w:hAnsi="Times New Roman" w:cs="Times New Roman"/>
          <w:sz w:val="24"/>
          <w:szCs w:val="24"/>
        </w:rPr>
        <w:t>го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доступ</w:t>
      </w:r>
      <w:r w:rsidR="005E6E33" w:rsidRPr="007D4B37">
        <w:rPr>
          <w:rStyle w:val="tlid-translation"/>
          <w:rFonts w:ascii="Times New Roman" w:hAnsi="Times New Roman" w:cs="Times New Roman"/>
          <w:sz w:val="24"/>
          <w:szCs w:val="24"/>
        </w:rPr>
        <w:t>а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. Список соответствующих материалов, как указано в методологии </w:t>
      </w:r>
      <w:r w:rsidR="005E6E33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показателей, можно найти </w:t>
      </w:r>
      <w:r w:rsidR="007D4B37" w:rsidRPr="007D4B37">
        <w:rPr>
          <w:rStyle w:val="tlid-translation"/>
          <w:rFonts w:ascii="Times New Roman" w:hAnsi="Times New Roman" w:cs="Times New Roman"/>
          <w:sz w:val="24"/>
          <w:szCs w:val="24"/>
        </w:rPr>
        <w:t>по адресу</w:t>
      </w:r>
      <w:r w:rsidR="005E6E33" w:rsidRPr="007D4B37">
        <w:rPr>
          <w:rStyle w:val="tlid-translation"/>
          <w:rFonts w:ascii="Times New Roman" w:hAnsi="Times New Roman" w:cs="Times New Roman"/>
          <w:sz w:val="24"/>
          <w:szCs w:val="24"/>
        </w:rPr>
        <w:t>:</w:t>
      </w:r>
    </w:p>
    <w:p w14:paraId="54A245A2" w14:textId="77777777" w:rsidR="005E6E33" w:rsidRPr="007D4B37" w:rsidRDefault="001D09CD" w:rsidP="007D4B37">
      <w:pPr>
        <w:pStyle w:val="af"/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hyperlink r:id="rId9" w:history="1">
        <w:r w:rsidR="005E6E33" w:rsidRPr="007D4B37">
          <w:rPr>
            <w:rStyle w:val="a6"/>
            <w:rFonts w:ascii="Times New Roman" w:hAnsi="Times New Roman" w:cs="Times New Roman"/>
            <w:sz w:val="24"/>
            <w:szCs w:val="24"/>
          </w:rPr>
          <w:t>http://www.ioccp.org/index.php/documents/standards-and-methods</w:t>
        </w:r>
      </w:hyperlink>
    </w:p>
    <w:p w14:paraId="4D3041AB" w14:textId="70564D09" w:rsidR="00DF2F1B" w:rsidRPr="007D4B37" w:rsidRDefault="00DF2F1B" w:rsidP="007D4B37">
      <w:pPr>
        <w:pStyle w:val="af"/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IOC / EC-LI / 2, Приложение 6</w:t>
      </w:r>
    </w:p>
    <w:p w14:paraId="61B995DD" w14:textId="63766E11" w:rsidR="00DF2F1B" w:rsidRPr="007D4B37" w:rsidRDefault="00DF2F1B" w:rsidP="007D4B37">
      <w:pPr>
        <w:pStyle w:val="af"/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Таблица 1</w:t>
      </w:r>
    </w:p>
    <w:p w14:paraId="5CE9FCC6" w14:textId="0CEA92EE" w:rsidR="00DF2F1B" w:rsidRPr="007D4B37" w:rsidRDefault="00DF2F1B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i/>
          <w:color w:val="0070C0"/>
          <w:sz w:val="24"/>
          <w:szCs w:val="24"/>
        </w:rPr>
        <w:t>Таблица 1. Список стандартных рабочих процедур для измерения различных параметров карбонатной системы (</w:t>
      </w:r>
      <w:r w:rsidR="005E6E33" w:rsidRPr="007D4B37">
        <w:rPr>
          <w:rStyle w:val="tlid-translation"/>
          <w:rFonts w:ascii="Times New Roman" w:hAnsi="Times New Roman" w:cs="Times New Roman"/>
          <w:i/>
          <w:color w:val="0070C0"/>
          <w:sz w:val="24"/>
          <w:szCs w:val="24"/>
        </w:rPr>
        <w:t>процедуры, отмеченные *, способны достичь качества климата</w:t>
      </w:r>
      <w:r w:rsidRPr="007D4B37">
        <w:rPr>
          <w:rStyle w:val="tlid-translation"/>
          <w:rFonts w:ascii="Times New Roman" w:hAnsi="Times New Roman" w:cs="Times New Roman"/>
          <w:i/>
          <w:color w:val="0070C0"/>
          <w:sz w:val="24"/>
          <w:szCs w:val="24"/>
        </w:rPr>
        <w:t>).</w:t>
      </w: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2059"/>
        <w:gridCol w:w="2655"/>
        <w:gridCol w:w="2655"/>
        <w:gridCol w:w="2655"/>
      </w:tblGrid>
      <w:tr w:rsidR="00DF2F1B" w:rsidRPr="007D4B37" w14:paraId="5BC7D8C9" w14:textId="77777777" w:rsidTr="00F11764">
        <w:tc>
          <w:tcPr>
            <w:tcW w:w="2059" w:type="dxa"/>
          </w:tcPr>
          <w:p w14:paraId="0F0DA180" w14:textId="77777777" w:rsidR="00DF2F1B" w:rsidRPr="007D4B37" w:rsidRDefault="00DF2F1B" w:rsidP="007D4B3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14:paraId="18F9777B" w14:textId="49F4630F" w:rsidR="00DF2F1B" w:rsidRPr="007D4B37" w:rsidRDefault="00DF2F1B" w:rsidP="007D4B3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3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дискретные</w:t>
            </w:r>
          </w:p>
        </w:tc>
        <w:tc>
          <w:tcPr>
            <w:tcW w:w="2655" w:type="dxa"/>
          </w:tcPr>
          <w:p w14:paraId="0A866938" w14:textId="77777777" w:rsidR="00F11764" w:rsidRPr="007D4B37" w:rsidRDefault="00F11764" w:rsidP="007D4B3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37">
              <w:rPr>
                <w:rFonts w:ascii="Times New Roman" w:hAnsi="Times New Roman" w:cs="Times New Roman"/>
                <w:sz w:val="24"/>
                <w:szCs w:val="24"/>
              </w:rPr>
              <w:t>в процессе разработки</w:t>
            </w:r>
          </w:p>
          <w:p w14:paraId="35696434" w14:textId="617F3F97" w:rsidR="00DF2F1B" w:rsidRPr="007D4B37" w:rsidRDefault="00F11764" w:rsidP="007D4B3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55" w:type="dxa"/>
          </w:tcPr>
          <w:p w14:paraId="2735F369" w14:textId="2D556378" w:rsidR="00DF2F1B" w:rsidRPr="007D4B37" w:rsidRDefault="001D09CD" w:rsidP="007D4B3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F11764" w:rsidRPr="007D4B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Фиксированные автономные</w:t>
              </w:r>
            </w:hyperlink>
            <w:r w:rsidR="00F11764" w:rsidRPr="007D4B3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F11764" w:rsidRPr="007D4B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датчики</w:t>
              </w:r>
            </w:hyperlink>
          </w:p>
        </w:tc>
      </w:tr>
      <w:tr w:rsidR="00DF2F1B" w:rsidRPr="007D4B37" w14:paraId="7495F78A" w14:textId="77777777" w:rsidTr="00F11764">
        <w:tc>
          <w:tcPr>
            <w:tcW w:w="2059" w:type="dxa"/>
          </w:tcPr>
          <w:p w14:paraId="1CD48877" w14:textId="529E8619" w:rsidR="00DF2F1B" w:rsidRPr="007D4B37" w:rsidRDefault="00DF2F1B" w:rsidP="007D4B37">
            <w:pPr>
              <w:pStyle w:val="Default"/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B37">
              <w:rPr>
                <w:rFonts w:ascii="Times New Roman" w:hAnsi="Times New Roman" w:cs="Times New Roman"/>
                <w:b/>
                <w:bCs/>
              </w:rPr>
              <w:t>pH</w:t>
            </w:r>
            <w:proofErr w:type="spellEnd"/>
            <w:r w:rsidRPr="007D4B3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55" w:type="dxa"/>
          </w:tcPr>
          <w:p w14:paraId="2083F0DC" w14:textId="380958E4" w:rsidR="00DF2F1B" w:rsidRPr="007D4B37" w:rsidRDefault="001D09CD" w:rsidP="007D4B3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proofErr w:type="spellStart"/>
              <w:r w:rsidR="00DF2F1B" w:rsidRPr="007D4B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Спектрофотометри</w:t>
              </w:r>
              <w:r w:rsidR="005E6E33" w:rsidRPr="007D4B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я</w:t>
              </w:r>
              <w:proofErr w:type="spellEnd"/>
            </w:hyperlink>
            <w:r w:rsidR="005E6E33" w:rsidRPr="007D4B3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*</w:t>
            </w:r>
            <w:r w:rsidR="00DF2F1B" w:rsidRPr="007D4B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="00DF2F1B" w:rsidRPr="007D4B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потенциометри</w:t>
              </w:r>
              <w:r w:rsidR="005E6E33" w:rsidRPr="007D4B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я</w:t>
              </w:r>
            </w:hyperlink>
          </w:p>
        </w:tc>
        <w:tc>
          <w:tcPr>
            <w:tcW w:w="2655" w:type="dxa"/>
          </w:tcPr>
          <w:p w14:paraId="00BBE12C" w14:textId="26D388B7" w:rsidR="00DF2F1B" w:rsidRPr="007D4B37" w:rsidRDefault="00F11764" w:rsidP="007D4B3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B3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Спектрофотометри</w:t>
            </w:r>
            <w:r w:rsidR="00C24F66" w:rsidRPr="007D4B3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D4B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7D4B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ISFET</w:t>
              </w:r>
            </w:hyperlink>
          </w:p>
        </w:tc>
        <w:tc>
          <w:tcPr>
            <w:tcW w:w="2655" w:type="dxa"/>
          </w:tcPr>
          <w:p w14:paraId="42B9FFC5" w14:textId="1857E0B3" w:rsidR="00DF2F1B" w:rsidRPr="007D4B37" w:rsidRDefault="00F11764" w:rsidP="007D4B3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B3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Спектрофотометри</w:t>
            </w:r>
            <w:r w:rsidR="00C24F66" w:rsidRPr="007D4B3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D4B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7D4B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ISFET</w:t>
              </w:r>
            </w:hyperlink>
          </w:p>
        </w:tc>
      </w:tr>
      <w:tr w:rsidR="00DF2F1B" w:rsidRPr="007D4B37" w14:paraId="7B83C174" w14:textId="77777777" w:rsidTr="00F11764">
        <w:tc>
          <w:tcPr>
            <w:tcW w:w="2059" w:type="dxa"/>
          </w:tcPr>
          <w:p w14:paraId="38465FAC" w14:textId="280E9608" w:rsidR="00DF2F1B" w:rsidRPr="007D4B37" w:rsidRDefault="00DF2F1B" w:rsidP="007D4B37">
            <w:pPr>
              <w:pStyle w:val="Default"/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  <w:b/>
                <w:bCs/>
              </w:rPr>
              <w:t xml:space="preserve">CT </w:t>
            </w:r>
          </w:p>
        </w:tc>
        <w:tc>
          <w:tcPr>
            <w:tcW w:w="2655" w:type="dxa"/>
          </w:tcPr>
          <w:p w14:paraId="7ED10ABE" w14:textId="6E239782" w:rsidR="00DF2F1B" w:rsidRPr="007D4B37" w:rsidRDefault="00DF2F1B" w:rsidP="007D4B3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3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ИК обнаружение</w:t>
            </w:r>
            <w:r w:rsidRPr="007D4B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proofErr w:type="spellStart"/>
              <w:r w:rsidRPr="007D4B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Кулонометрия</w:t>
              </w:r>
              <w:proofErr w:type="spellEnd"/>
            </w:hyperlink>
            <w:r w:rsidRPr="007D4B3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55" w:type="dxa"/>
          </w:tcPr>
          <w:p w14:paraId="3496233E" w14:textId="0168F6CB" w:rsidR="00DF2F1B" w:rsidRPr="007D4B37" w:rsidRDefault="00F11764" w:rsidP="007D4B3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5" w:type="dxa"/>
          </w:tcPr>
          <w:p w14:paraId="7ED2E40D" w14:textId="01F912AB" w:rsidR="00DF2F1B" w:rsidRPr="007D4B37" w:rsidRDefault="00F11764" w:rsidP="007D4B3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F2F1B" w:rsidRPr="007D4B37" w14:paraId="49EC152F" w14:textId="77777777" w:rsidTr="00F11764">
        <w:tc>
          <w:tcPr>
            <w:tcW w:w="2059" w:type="dxa"/>
          </w:tcPr>
          <w:p w14:paraId="08A16D5D" w14:textId="40B1B6EE" w:rsidR="00DF2F1B" w:rsidRPr="007D4B37" w:rsidRDefault="00DF2F1B" w:rsidP="007D4B37">
            <w:pPr>
              <w:pStyle w:val="Default"/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  <w:b/>
                <w:bCs/>
              </w:rPr>
              <w:t xml:space="preserve">AT </w:t>
            </w:r>
          </w:p>
        </w:tc>
        <w:tc>
          <w:tcPr>
            <w:tcW w:w="2655" w:type="dxa"/>
          </w:tcPr>
          <w:p w14:paraId="33ED43C1" w14:textId="6D5BDA2D" w:rsidR="00DF2F1B" w:rsidRPr="007D4B37" w:rsidRDefault="001D09CD" w:rsidP="007D4B3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DF2F1B" w:rsidRPr="007D4B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Потенциометрическое титрование</w:t>
              </w:r>
            </w:hyperlink>
            <w:r w:rsidR="00DF2F1B" w:rsidRPr="007D4B3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(открытая и </w:t>
            </w:r>
            <w:hyperlink r:id="rId18" w:history="1">
              <w:r w:rsidR="00DF2F1B" w:rsidRPr="007D4B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закрытая ячейка</w:t>
              </w:r>
            </w:hyperlink>
            <w:r w:rsidR="00DF2F1B" w:rsidRPr="007D4B3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" w:history="1">
              <w:r w:rsidR="00DF2F1B" w:rsidRPr="007D4B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рекомендуется открытая</w:t>
              </w:r>
            </w:hyperlink>
            <w:r w:rsidR="00DF2F1B" w:rsidRPr="007D4B3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  <w:tc>
          <w:tcPr>
            <w:tcW w:w="2655" w:type="dxa"/>
          </w:tcPr>
          <w:p w14:paraId="304D1B15" w14:textId="32D06B04" w:rsidR="00DF2F1B" w:rsidRPr="007D4B37" w:rsidRDefault="00F11764" w:rsidP="007D4B3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5" w:type="dxa"/>
          </w:tcPr>
          <w:p w14:paraId="1914B18C" w14:textId="4B4DE9A9" w:rsidR="00DF2F1B" w:rsidRPr="007D4B37" w:rsidRDefault="00F11764" w:rsidP="007D4B3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F2F1B" w:rsidRPr="007D4B37" w14:paraId="5762C28E" w14:textId="77777777" w:rsidTr="00F11764">
        <w:tc>
          <w:tcPr>
            <w:tcW w:w="2059" w:type="dxa"/>
          </w:tcPr>
          <w:p w14:paraId="2F21AC40" w14:textId="192CC247" w:rsidR="00DF2F1B" w:rsidRPr="007D4B37" w:rsidRDefault="00DF2F1B" w:rsidP="007D4B37">
            <w:pPr>
              <w:pStyle w:val="Default"/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7D4B37">
              <w:rPr>
                <w:rFonts w:ascii="Times New Roman" w:hAnsi="Times New Roman" w:cs="Times New Roman"/>
                <w:b/>
                <w:bCs/>
                <w:i/>
                <w:iCs/>
              </w:rPr>
              <w:t>pCO</w:t>
            </w:r>
            <w:r w:rsidRPr="007D4B37">
              <w:rPr>
                <w:rFonts w:ascii="Times New Roman" w:hAnsi="Times New Roman" w:cs="Times New Roman"/>
                <w:b/>
                <w:bCs/>
                <w:i/>
                <w:iCs/>
                <w:vertAlign w:val="subscript"/>
              </w:rPr>
              <w:t>2</w:t>
            </w:r>
          </w:p>
          <w:p w14:paraId="00F5974D" w14:textId="77777777" w:rsidR="00DF2F1B" w:rsidRPr="007D4B37" w:rsidRDefault="00DF2F1B" w:rsidP="007D4B3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14:paraId="68BA15AD" w14:textId="1D09F30F" w:rsidR="00DF2F1B" w:rsidRPr="007D4B37" w:rsidRDefault="00DF2F1B" w:rsidP="007D4B3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55" w:type="dxa"/>
          </w:tcPr>
          <w:p w14:paraId="70DE2187" w14:textId="138E509E" w:rsidR="00C24F66" w:rsidRPr="007D4B37" w:rsidRDefault="001D09CD" w:rsidP="007D4B3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11764" w:rsidRPr="007D4B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Уравнове</w:t>
              </w:r>
              <w:r w:rsidR="00C24F66" w:rsidRPr="007D4B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шивание, свободное пространство</w:t>
              </w:r>
            </w:hyperlink>
            <w:r w:rsidR="00F11764" w:rsidRPr="007D4B3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45DE6A3C" w14:textId="41879602" w:rsidR="00DF2F1B" w:rsidRPr="007D4B37" w:rsidRDefault="00F11764" w:rsidP="007D4B3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4B3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основанн</w:t>
            </w:r>
            <w:r w:rsidR="00C24F66" w:rsidRPr="007D4B3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7D4B3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на мембране</w:t>
            </w:r>
          </w:p>
        </w:tc>
        <w:tc>
          <w:tcPr>
            <w:tcW w:w="2655" w:type="dxa"/>
          </w:tcPr>
          <w:p w14:paraId="2A99C246" w14:textId="3A2E6E99" w:rsidR="00F11764" w:rsidRPr="007D4B37" w:rsidRDefault="001D09CD" w:rsidP="007D4B3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11764" w:rsidRPr="007D4B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Уравновешивание</w:t>
              </w:r>
            </w:hyperlink>
            <w:r w:rsidR="00F11764" w:rsidRPr="007D4B3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*</w:t>
            </w:r>
            <w:r w:rsidR="00C24F66" w:rsidRPr="007D4B3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9E63AE" w14:textId="3EFB7E73" w:rsidR="00DF2F1B" w:rsidRPr="007D4B37" w:rsidRDefault="00C24F66" w:rsidP="007D4B3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4B3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основанный</w:t>
            </w:r>
            <w:proofErr w:type="gramEnd"/>
            <w:r w:rsidRPr="007D4B3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на мембране</w:t>
            </w:r>
            <w:r w:rsidRPr="007D4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38BACC3" w14:textId="77777777" w:rsidR="00F11764" w:rsidRPr="007D4B37" w:rsidRDefault="00F11764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677F3527" w14:textId="77777777" w:rsidR="00C24F66" w:rsidRPr="007D4B37" w:rsidRDefault="00F11764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Гарантия качества</w:t>
      </w:r>
    </w:p>
    <w:p w14:paraId="51696694" w14:textId="0F2F81F9" w:rsidR="00DF2F1B" w:rsidRPr="007D4B37" w:rsidRDefault="00F11764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Процессы контроля и проверки качества данных были разработаны в тесной консультации с экспертами в области </w:t>
      </w:r>
      <w:proofErr w:type="spellStart"/>
      <w:r w:rsidR="00C24F66" w:rsidRPr="007D4B37">
        <w:rPr>
          <w:rStyle w:val="tlid-translation"/>
          <w:rFonts w:ascii="Times New Roman" w:hAnsi="Times New Roman" w:cs="Times New Roman"/>
          <w:sz w:val="24"/>
          <w:szCs w:val="24"/>
        </w:rPr>
        <w:t>за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кисления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океана, в том числе с членами Глобальной сети 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 xml:space="preserve">наблюдений за </w:t>
      </w:r>
      <w:proofErr w:type="spellStart"/>
      <w:r w:rsidR="00C24F66" w:rsidRPr="007D4B37">
        <w:rPr>
          <w:rStyle w:val="tlid-translation"/>
          <w:rFonts w:ascii="Times New Roman" w:hAnsi="Times New Roman" w:cs="Times New Roman"/>
          <w:sz w:val="24"/>
          <w:szCs w:val="24"/>
        </w:rPr>
        <w:t>за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кислением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океана (GOA-ON) и экспертами по управлению данными, такими, как </w:t>
      </w:r>
      <w:r w:rsidR="00C24F66" w:rsidRPr="007D4B37">
        <w:rPr>
          <w:rStyle w:val="tlid-translation"/>
          <w:rFonts w:ascii="Times New Roman" w:hAnsi="Times New Roman" w:cs="Times New Roman"/>
          <w:sz w:val="24"/>
          <w:szCs w:val="24"/>
        </w:rPr>
        <w:t>IODE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. Контроль качества данных является важным компонентом анализа, представления и обработки данных. Ученые и технические специалисты, которые собрали представленные данные, будут нести ответственность за первичный контроль качества данных и сопутствующих подробных метаданных. Метаданные, представленные с данными, также должны описывать стандартные рабочие процедуры контроля качества (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SOP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), применяемые для каждого параметра.</w:t>
      </w:r>
    </w:p>
    <w:p w14:paraId="41DBACB1" w14:textId="77777777" w:rsidR="00C30DAA" w:rsidRPr="007D4B37" w:rsidRDefault="00F11764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Первичный контроль качества состоит </w:t>
      </w:r>
      <w:proofErr w:type="gramStart"/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:</w:t>
      </w:r>
    </w:p>
    <w:p w14:paraId="3836C752" w14:textId="6204C978" w:rsidR="00C30DAA" w:rsidRPr="007D4B37" w:rsidRDefault="00C30DAA" w:rsidP="007D4B37">
      <w:pPr>
        <w:pStyle w:val="af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к</w:t>
      </w:r>
      <w:r w:rsidR="00F11764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онтроль качества, связанный с методологией (предоставляются CRM, калибровка </w:t>
      </w:r>
      <w:proofErr w:type="spellStart"/>
      <w:r w:rsidR="00F11764" w:rsidRPr="007D4B37">
        <w:rPr>
          <w:rStyle w:val="tlid-translation"/>
          <w:rFonts w:ascii="Times New Roman" w:hAnsi="Times New Roman" w:cs="Times New Roman"/>
          <w:sz w:val="24"/>
          <w:szCs w:val="24"/>
        </w:rPr>
        <w:t>трис</w:t>
      </w:r>
      <w:proofErr w:type="spellEnd"/>
      <w:r w:rsidR="00F11764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-буфера, </w:t>
      </w:r>
      <w:r w:rsidR="00F11764" w:rsidRPr="007D4B3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SOP</w:t>
      </w:r>
      <w:r w:rsidR="00F11764" w:rsidRPr="007D4B37">
        <w:rPr>
          <w:rStyle w:val="tlid-translation"/>
          <w:rFonts w:ascii="Times New Roman" w:hAnsi="Times New Roman" w:cs="Times New Roman"/>
          <w:sz w:val="24"/>
          <w:szCs w:val="24"/>
        </w:rPr>
        <w:t>),</w:t>
      </w:r>
    </w:p>
    <w:p w14:paraId="40BEAAFF" w14:textId="5A7BE3D0" w:rsidR="00C30DAA" w:rsidRPr="007D4B37" w:rsidRDefault="00C30DAA" w:rsidP="007D4B37">
      <w:pPr>
        <w:pStyle w:val="af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к</w:t>
      </w:r>
      <w:r w:rsidR="00F11764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онтроль качества и обеспечение качества фактических данных (предоставляются </w:t>
      </w:r>
      <w:r w:rsidR="00F11764" w:rsidRPr="007D4B3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SOP</w:t>
      </w:r>
      <w:r w:rsidR="00F11764" w:rsidRPr="007D4B37">
        <w:rPr>
          <w:rStyle w:val="tlid-translation"/>
          <w:rFonts w:ascii="Times New Roman" w:hAnsi="Times New Roman" w:cs="Times New Roman"/>
          <w:sz w:val="24"/>
          <w:szCs w:val="24"/>
        </w:rPr>
        <w:t>) и использование согласованных сообществом флагов качества,</w:t>
      </w:r>
    </w:p>
    <w:p w14:paraId="6E32D970" w14:textId="77777777" w:rsidR="00C30DAA" w:rsidRPr="007D4B37" w:rsidRDefault="00F11764" w:rsidP="007D4B37">
      <w:pPr>
        <w:pStyle w:val="af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выявление и маркировка выбросов,</w:t>
      </w:r>
    </w:p>
    <w:p w14:paraId="1729B159" w14:textId="4AC776F5" w:rsidR="00C30DAA" w:rsidRPr="007D4B37" w:rsidRDefault="00C30DAA" w:rsidP="007D4B37">
      <w:pPr>
        <w:pStyle w:val="af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п</w:t>
      </w:r>
      <w:r w:rsidR="00F11764" w:rsidRPr="007D4B37">
        <w:rPr>
          <w:rStyle w:val="tlid-translation"/>
          <w:rFonts w:ascii="Times New Roman" w:hAnsi="Times New Roman" w:cs="Times New Roman"/>
          <w:sz w:val="24"/>
          <w:szCs w:val="24"/>
        </w:rPr>
        <w:t>ринятие решений относительно обоснованности этих отдаленных точек,</w:t>
      </w:r>
    </w:p>
    <w:p w14:paraId="4D2661CD" w14:textId="77777777" w:rsidR="00C30DAA" w:rsidRPr="007D4B37" w:rsidRDefault="00F11764" w:rsidP="007D4B37">
      <w:pPr>
        <w:pStyle w:val="af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оценка неопределенности измерения,</w:t>
      </w:r>
    </w:p>
    <w:p w14:paraId="6D82B91E" w14:textId="77777777" w:rsidR="00C30DAA" w:rsidRPr="007D4B37" w:rsidRDefault="00F11764" w:rsidP="007D4B37">
      <w:pPr>
        <w:pStyle w:val="af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выявление всех источников неопределенности в измерениях,</w:t>
      </w:r>
    </w:p>
    <w:p w14:paraId="3DD75EF3" w14:textId="77777777" w:rsidR="007D4B37" w:rsidRPr="007D4B37" w:rsidRDefault="00F11764" w:rsidP="007D4B37">
      <w:pPr>
        <w:pStyle w:val="af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сведение отдельных неопределенностей в общую неопределенность (распространение ошибок).</w:t>
      </w:r>
    </w:p>
    <w:p w14:paraId="7D66FCA1" w14:textId="0A62670C" w:rsidR="00C30DAA" w:rsidRPr="007D4B37" w:rsidRDefault="00F11764" w:rsidP="007D4B37">
      <w:pPr>
        <w:pStyle w:val="af"/>
        <w:spacing w:before="100" w:beforeAutospacing="1" w:after="100" w:afterAutospacing="1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Вторичный контроль качества:</w:t>
      </w:r>
    </w:p>
    <w:p w14:paraId="110AB760" w14:textId="77777777" w:rsidR="00C30DAA" w:rsidRPr="007D4B37" w:rsidRDefault="00F11764" w:rsidP="007D4B37">
      <w:pPr>
        <w:pStyle w:val="af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Гармонизация данных и обеспечение полноты метаданных,</w:t>
      </w:r>
    </w:p>
    <w:p w14:paraId="736E3F9E" w14:textId="77777777" w:rsidR="00C30DAA" w:rsidRPr="007D4B37" w:rsidRDefault="00F11764" w:rsidP="007D4B37">
      <w:pPr>
        <w:pStyle w:val="af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Внешний контроль / аудит качества - Экспертная группа контроля качества, применяющая уровни погоды и климата, определенные GOA-ON (по примеру SOCAT),</w:t>
      </w:r>
    </w:p>
    <w:p w14:paraId="4B09B587" w14:textId="678B7DDE" w:rsidR="00F11764" w:rsidRPr="007D4B37" w:rsidRDefault="00F11764" w:rsidP="007D4B37">
      <w:pPr>
        <w:pStyle w:val="af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Обратная связь с владельцами данных.</w:t>
      </w:r>
    </w:p>
    <w:p w14:paraId="5D235821" w14:textId="77777777" w:rsidR="00C30DAA" w:rsidRPr="007D4B37" w:rsidRDefault="00C30DAA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П</w:t>
      </w:r>
      <w:r w:rsidR="00F11764" w:rsidRPr="007D4B37">
        <w:rPr>
          <w:rStyle w:val="tlid-translation"/>
          <w:rFonts w:ascii="Times New Roman" w:hAnsi="Times New Roman" w:cs="Times New Roman"/>
          <w:sz w:val="24"/>
          <w:szCs w:val="24"/>
        </w:rPr>
        <w:t>осле оценки контроля качества, описанной выше, экспертная группа контроля качества приписывает три категории качества измерений:</w:t>
      </w:r>
    </w:p>
    <w:p w14:paraId="0398C87E" w14:textId="77777777" w:rsidR="00C30DAA" w:rsidRPr="007D4B37" w:rsidRDefault="00F11764" w:rsidP="007D4B37">
      <w:pPr>
        <w:pStyle w:val="af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Установленное качество океанографического климата (Категория 1)</w:t>
      </w:r>
    </w:p>
    <w:p w14:paraId="2E04E297" w14:textId="396F8E3E" w:rsidR="00C30DAA" w:rsidRPr="007D4B37" w:rsidRDefault="00C30DAA" w:rsidP="007D4B37">
      <w:pPr>
        <w:pStyle w:val="af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Данные о качестве погоды, включая данные датчиков и наращивания потенциала, упрощают измерения </w:t>
      </w:r>
      <w:proofErr w:type="spell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pH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и щелочности с соответствующей оценкой неопределенности </w:t>
      </w:r>
      <w:r w:rsidR="00F11764" w:rsidRPr="007D4B37">
        <w:rPr>
          <w:rStyle w:val="tlid-translation"/>
          <w:rFonts w:ascii="Times New Roman" w:hAnsi="Times New Roman" w:cs="Times New Roman"/>
          <w:sz w:val="24"/>
          <w:szCs w:val="24"/>
        </w:rPr>
        <w:t>(Категория 2)</w:t>
      </w:r>
    </w:p>
    <w:p w14:paraId="515F5EF6" w14:textId="0C757381" w:rsidR="00F11764" w:rsidRPr="007D4B37" w:rsidRDefault="00F11764" w:rsidP="007D4B37">
      <w:pPr>
        <w:pStyle w:val="af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Измерения неопределенного качества (категория 3) (не будут отображаться при визуализации среднегодовых средневзвешенных значений и дисперсии </w:t>
      </w:r>
      <w:proofErr w:type="spell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pH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).</w:t>
      </w:r>
    </w:p>
    <w:p w14:paraId="1FA26731" w14:textId="77777777" w:rsidR="001D09CD" w:rsidRPr="002A6775" w:rsidRDefault="001D09CD" w:rsidP="001D09C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45D98BF" w14:textId="77777777" w:rsidR="001D09CD" w:rsidRPr="002A6775" w:rsidRDefault="001D09CD" w:rsidP="001D09CD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Источники данных </w:t>
      </w:r>
    </w:p>
    <w:p w14:paraId="12770695" w14:textId="77777777" w:rsidR="007D4B37" w:rsidRPr="007D4B37" w:rsidRDefault="007D4B37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39894" w14:textId="4EB7EF51" w:rsidR="002518AE" w:rsidRPr="007D4B37" w:rsidRDefault="002518AE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Описание</w:t>
      </w:r>
      <w:r w:rsidR="00C30DAA"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:</w:t>
      </w:r>
    </w:p>
    <w:p w14:paraId="275535D4" w14:textId="77777777" w:rsidR="00C30DAA" w:rsidRPr="007D4B37" w:rsidRDefault="002518AE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 xml:space="preserve">Общий процесс сбора данных </w:t>
      </w:r>
      <w:r w:rsidR="00C30DAA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МОК описан в документе </w:t>
      </w:r>
      <w:hyperlink r:id="rId22" w:history="1">
        <w:r w:rsidR="00C30DAA" w:rsidRPr="007D4B37">
          <w:rPr>
            <w:rStyle w:val="a6"/>
            <w:rFonts w:ascii="Times New Roman" w:hAnsi="Times New Roman" w:cs="Times New Roman"/>
            <w:sz w:val="24"/>
            <w:szCs w:val="24"/>
          </w:rPr>
          <w:t>IOC-XXIX</w:t>
        </w:r>
        <w:r w:rsidRPr="007D4B37">
          <w:rPr>
            <w:rStyle w:val="a6"/>
            <w:rFonts w:ascii="Times New Roman" w:hAnsi="Times New Roman" w:cs="Times New Roman"/>
            <w:sz w:val="24"/>
            <w:szCs w:val="24"/>
          </w:rPr>
          <w:t>/2Annex 14.</w:t>
        </w:r>
      </w:hyperlink>
      <w:r w:rsidRPr="007D4B37">
        <w:rPr>
          <w:rFonts w:ascii="Times New Roman" w:hAnsi="Times New Roman" w:cs="Times New Roman"/>
          <w:sz w:val="24"/>
          <w:szCs w:val="24"/>
        </w:rPr>
        <w:br/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Новизна оценки </w:t>
      </w:r>
      <w:proofErr w:type="spellStart"/>
      <w:r w:rsidR="00C30DAA" w:rsidRPr="007D4B37">
        <w:rPr>
          <w:rStyle w:val="tlid-translation"/>
          <w:rFonts w:ascii="Times New Roman" w:hAnsi="Times New Roman" w:cs="Times New Roman"/>
          <w:sz w:val="24"/>
          <w:szCs w:val="24"/>
        </w:rPr>
        <w:t>за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кисления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океана на глобальном уровне, как в </w:t>
      </w:r>
      <w:r w:rsidR="00C30DAA" w:rsidRPr="007D4B37">
        <w:rPr>
          <w:rStyle w:val="tlid-translation"/>
          <w:rFonts w:ascii="Times New Roman" w:hAnsi="Times New Roman" w:cs="Times New Roman"/>
          <w:sz w:val="24"/>
          <w:szCs w:val="24"/>
        </w:rPr>
        <w:t>показателе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14.3.1, требует от секретариата МОК сбора данных различными путями. Ожидается, что будущие сборы данных будут состоять </w:t>
      </w:r>
      <w:proofErr w:type="gram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из</w:t>
      </w:r>
      <w:proofErr w:type="gram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:</w:t>
      </w:r>
    </w:p>
    <w:p w14:paraId="5ACB2115" w14:textId="0255E06B" w:rsidR="00C30DAA" w:rsidRPr="007D4B37" w:rsidRDefault="002518AE" w:rsidP="007D4B37">
      <w:pPr>
        <w:pStyle w:val="af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прямых запросов в национальные статистические </w:t>
      </w:r>
      <w:r w:rsidR="00C30DAA" w:rsidRPr="007D4B37">
        <w:rPr>
          <w:rStyle w:val="tlid-translation"/>
          <w:rFonts w:ascii="Times New Roman" w:hAnsi="Times New Roman" w:cs="Times New Roman"/>
          <w:sz w:val="24"/>
          <w:szCs w:val="24"/>
        </w:rPr>
        <w:t>организации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(НС</w:t>
      </w:r>
      <w:r w:rsidR="00C30DAA" w:rsidRPr="007D4B37">
        <w:rPr>
          <w:rStyle w:val="tlid-translation"/>
          <w:rFonts w:ascii="Times New Roman" w:hAnsi="Times New Roman" w:cs="Times New Roman"/>
          <w:sz w:val="24"/>
          <w:szCs w:val="24"/>
        </w:rPr>
        <w:t>О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), поскольку в настоящее время установлены новые национальные механизмы отчетности, позволяющие им предоставлять требуемую информацию,</w:t>
      </w:r>
    </w:p>
    <w:p w14:paraId="0D6B98BB" w14:textId="77777777" w:rsidR="00C30DAA" w:rsidRPr="007D4B37" w:rsidRDefault="002518AE" w:rsidP="007D4B37">
      <w:pPr>
        <w:pStyle w:val="af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ежегодных запросов в национальные координационные центры МОК,</w:t>
      </w:r>
    </w:p>
    <w:p w14:paraId="3657CA50" w14:textId="77777777" w:rsidR="00C30DAA" w:rsidRPr="007D4B37" w:rsidRDefault="002518AE" w:rsidP="007D4B37">
      <w:pPr>
        <w:pStyle w:val="af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сотрудничество с национальными центрами океанографических данных, международными центрами данных  </w:t>
      </w:r>
    </w:p>
    <w:p w14:paraId="21F73849" w14:textId="60F92DF6" w:rsidR="002518AE" w:rsidRPr="007D4B37" w:rsidRDefault="002518AE" w:rsidP="007D4B37">
      <w:pPr>
        <w:pStyle w:val="af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прямые запросы поставщикам данных через портал данных GOA-ON (рисунок 1).</w:t>
      </w:r>
    </w:p>
    <w:p w14:paraId="729B48CE" w14:textId="6D90D667" w:rsidR="002518AE" w:rsidRPr="007D4B37" w:rsidRDefault="002518AE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735B1B" wp14:editId="38FB85AF">
            <wp:extent cx="5943600" cy="471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E2620" w14:textId="4EF83438" w:rsidR="002518AE" w:rsidRPr="007D4B37" w:rsidRDefault="002518AE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Рисунок 1. </w:t>
      </w:r>
      <w:proofErr w:type="gram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Схема для иллюстрации предлагаемого процесса сбора и публикации данных, связанных с национальным вкладом данных, относящихся к 14.3.1 (ЦУР: цель в области устойчивого развития; </w:t>
      </w:r>
      <w:r w:rsidR="00A414D0" w:rsidRPr="007D4B37">
        <w:rPr>
          <w:rStyle w:val="tlid-translation"/>
          <w:rFonts w:ascii="Times New Roman" w:hAnsi="Times New Roman" w:cs="Times New Roman"/>
          <w:sz w:val="24"/>
          <w:szCs w:val="24"/>
        </w:rPr>
        <w:t>IOC-UNESCO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:</w:t>
      </w:r>
      <w:proofErr w:type="gram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Межправительственная океанографическая комиссия</w:t>
      </w:r>
      <w:r w:rsidRPr="007D4B37">
        <w:rPr>
          <w:rFonts w:ascii="Times New Roman" w:hAnsi="Times New Roman" w:cs="Times New Roman"/>
          <w:sz w:val="24"/>
          <w:szCs w:val="24"/>
        </w:rPr>
        <w:t xml:space="preserve"> 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ЮНЕСКО; GOA-ON: Глобальная сеть наблюдений за </w:t>
      </w:r>
      <w:proofErr w:type="spellStart"/>
      <w:r w:rsidR="00C30DAA" w:rsidRPr="007D4B37">
        <w:rPr>
          <w:rStyle w:val="tlid-translation"/>
          <w:rFonts w:ascii="Times New Roman" w:hAnsi="Times New Roman" w:cs="Times New Roman"/>
          <w:sz w:val="24"/>
          <w:szCs w:val="24"/>
        </w:rPr>
        <w:t>за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кислением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океана; </w:t>
      </w:r>
      <w:r w:rsidR="00A414D0" w:rsidRPr="007D4B37">
        <w:rPr>
          <w:rStyle w:val="tlid-translation"/>
          <w:rFonts w:ascii="Times New Roman" w:hAnsi="Times New Roman" w:cs="Times New Roman"/>
          <w:sz w:val="24"/>
          <w:szCs w:val="24"/>
        </w:rPr>
        <w:t>JCOMM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: Совместная техническая комиссия ВМО-МОК по океанографии и морской метеорологии; </w:t>
      </w:r>
      <w:r w:rsidR="00A414D0" w:rsidRPr="007D4B37">
        <w:rPr>
          <w:rStyle w:val="tlid-translation"/>
          <w:rFonts w:ascii="Times New Roman" w:hAnsi="Times New Roman" w:cs="Times New Roman"/>
          <w:sz w:val="24"/>
          <w:szCs w:val="24"/>
        </w:rPr>
        <w:t>WMO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: Всемирная Метеорологическая Ассоциация; </w:t>
      </w:r>
      <w:r w:rsidR="00C30DAA" w:rsidRPr="007D4B37">
        <w:rPr>
          <w:rStyle w:val="tlid-translation"/>
          <w:rFonts w:ascii="Times New Roman" w:hAnsi="Times New Roman" w:cs="Times New Roman"/>
          <w:sz w:val="24"/>
          <w:szCs w:val="24"/>
        </w:rPr>
        <w:t>IODE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: Международный обмен океанографическими данными и информацией МОК ЮНЕСКО; GDAC: Глобальный центр сбора данных; </w:t>
      </w:r>
      <w:r w:rsidR="00A414D0" w:rsidRPr="007D4B37">
        <w:rPr>
          <w:rStyle w:val="tlid-translation"/>
          <w:rFonts w:ascii="Times New Roman" w:hAnsi="Times New Roman" w:cs="Times New Roman"/>
          <w:sz w:val="24"/>
          <w:szCs w:val="24"/>
        </w:rPr>
        <w:t>BGC ARGO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: Биогеохимически</w:t>
      </w:r>
      <w:r w:rsidR="00A414D0" w:rsidRPr="007D4B37">
        <w:rPr>
          <w:rStyle w:val="tlid-translation"/>
          <w:rFonts w:ascii="Times New Roman" w:hAnsi="Times New Roman" w:cs="Times New Roman"/>
          <w:sz w:val="24"/>
          <w:szCs w:val="24"/>
        </w:rPr>
        <w:t>е буи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Арго</w:t>
      </w:r>
      <w:r w:rsidR="00A414D0" w:rsidRPr="007D4B37">
        <w:rPr>
          <w:rStyle w:val="tlid-translation"/>
          <w:rFonts w:ascii="Times New Roman" w:hAnsi="Times New Roman" w:cs="Times New Roman"/>
          <w:sz w:val="24"/>
          <w:szCs w:val="24"/>
        </w:rPr>
        <w:t>; QC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: 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 xml:space="preserve">контроль качества; </w:t>
      </w:r>
      <w:r w:rsidR="00A414D0" w:rsidRPr="007D4B37">
        <w:rPr>
          <w:rStyle w:val="tlid-translation"/>
          <w:rFonts w:ascii="Times New Roman" w:hAnsi="Times New Roman" w:cs="Times New Roman"/>
          <w:sz w:val="24"/>
          <w:szCs w:val="24"/>
        </w:rPr>
        <w:t>NODC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: Национальный центр океанографических данных; DOI: цифровой идентификатор объекта; </w:t>
      </w:r>
      <w:r w:rsidR="00A414D0" w:rsidRPr="007D4B37">
        <w:rPr>
          <w:rStyle w:val="tlid-translation"/>
          <w:rFonts w:ascii="Times New Roman" w:hAnsi="Times New Roman" w:cs="Times New Roman"/>
          <w:sz w:val="24"/>
          <w:szCs w:val="24"/>
        </w:rPr>
        <w:t>BP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: Лучшая практика; CD: развитие потенциала; </w:t>
      </w:r>
      <w:r w:rsidR="00A414D0" w:rsidRPr="007D4B37">
        <w:rPr>
          <w:rStyle w:val="tlid-translation"/>
          <w:rFonts w:ascii="Times New Roman" w:hAnsi="Times New Roman" w:cs="Times New Roman"/>
          <w:sz w:val="24"/>
          <w:szCs w:val="24"/>
        </w:rPr>
        <w:t>PI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: главный следователь; RTC: </w:t>
      </w:r>
      <w:proofErr w:type="gram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Региональный учебный центр).</w:t>
      </w:r>
      <w:r w:rsidR="00A414D0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0C9F6DE" w14:textId="1B5B0B63" w:rsidR="00A414D0" w:rsidRPr="007D4B37" w:rsidRDefault="002518AE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Глобальные научные усилия (</w:t>
      </w:r>
      <w:hyperlink r:id="rId24" w:history="1">
        <w:r w:rsidRPr="007D4B37">
          <w:rPr>
            <w:rStyle w:val="a6"/>
            <w:rFonts w:ascii="Times New Roman" w:hAnsi="Times New Roman" w:cs="Times New Roman"/>
            <w:sz w:val="24"/>
            <w:szCs w:val="24"/>
          </w:rPr>
          <w:t>GO-SHIP</w:t>
        </w:r>
      </w:hyperlink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7D4B37">
          <w:rPr>
            <w:rStyle w:val="a6"/>
            <w:rFonts w:ascii="Times New Roman" w:hAnsi="Times New Roman" w:cs="Times New Roman"/>
            <w:sz w:val="24"/>
            <w:szCs w:val="24"/>
          </w:rPr>
          <w:t>SOCAT</w:t>
        </w:r>
      </w:hyperlink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7D4B37">
          <w:rPr>
            <w:rStyle w:val="a6"/>
            <w:rFonts w:ascii="Times New Roman" w:hAnsi="Times New Roman" w:cs="Times New Roman"/>
            <w:sz w:val="24"/>
            <w:szCs w:val="24"/>
          </w:rPr>
          <w:t>GCOS</w:t>
        </w:r>
      </w:hyperlink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), которые </w:t>
      </w:r>
      <w:r w:rsidR="00FD738A" w:rsidRPr="007D4B37">
        <w:rPr>
          <w:rStyle w:val="tlid-translation"/>
          <w:rFonts w:ascii="Times New Roman" w:hAnsi="Times New Roman" w:cs="Times New Roman"/>
          <w:sz w:val="24"/>
          <w:szCs w:val="24"/>
        </w:rPr>
        <w:t>хранят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и содержат данные различных усил</w:t>
      </w:r>
      <w:r w:rsidR="00FD738A" w:rsidRPr="007D4B37">
        <w:rPr>
          <w:rStyle w:val="tlid-translation"/>
          <w:rFonts w:ascii="Times New Roman" w:hAnsi="Times New Roman" w:cs="Times New Roman"/>
          <w:sz w:val="24"/>
          <w:szCs w:val="24"/>
        </w:rPr>
        <w:t>ий по наблюдению за океаном и/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или сосредоточены на сборе измерений в международных водах, также будут запрашиваться для годовых или более вероятных многолетних наборов данных, о</w:t>
      </w:r>
      <w:r w:rsidR="00FD738A" w:rsidRPr="007D4B37">
        <w:rPr>
          <w:rStyle w:val="tlid-translation"/>
          <w:rFonts w:ascii="Times New Roman" w:hAnsi="Times New Roman" w:cs="Times New Roman"/>
          <w:sz w:val="24"/>
          <w:szCs w:val="24"/>
        </w:rPr>
        <w:t>тражающих состояние и изменения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переменных </w:t>
      </w:r>
      <w:proofErr w:type="spellStart"/>
      <w:r w:rsidR="00FD738A" w:rsidRPr="007D4B37">
        <w:rPr>
          <w:rStyle w:val="tlid-translation"/>
          <w:rFonts w:ascii="Times New Roman" w:hAnsi="Times New Roman" w:cs="Times New Roman"/>
          <w:sz w:val="24"/>
          <w:szCs w:val="24"/>
        </w:rPr>
        <w:t>за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кисления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океана в открытом океане.</w:t>
      </w:r>
    </w:p>
    <w:p w14:paraId="6F260D39" w14:textId="283F00E1" w:rsidR="002518AE" w:rsidRPr="007D4B37" w:rsidRDefault="002518AE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Как уже упоминалось, процесс сбора данных будет проходить в тесном сотрудничестве с Проектным бюро МОК для </w:t>
      </w:r>
      <w:r w:rsidR="00FD738A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IODE </w:t>
      </w:r>
      <w:proofErr w:type="spellStart"/>
      <w:r w:rsidR="00FD738A" w:rsidRPr="007D4B37">
        <w:rPr>
          <w:rStyle w:val="tlid-translation"/>
          <w:rFonts w:ascii="Times New Roman" w:hAnsi="Times New Roman" w:cs="Times New Roman"/>
          <w:sz w:val="24"/>
          <w:szCs w:val="24"/>
        </w:rPr>
        <w:t>Oostende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, Бельгия и соответствующими поставщиками данных/ национальными архивами, порталом данных GOA-ON </w:t>
      </w:r>
      <w:r w:rsidR="00FD738A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и таких субъектов, как морская химия, входящая в Европейскую сеть морских наблюдений и данных 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proofErr w:type="spell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EMODnet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).</w:t>
      </w:r>
      <w:r w:rsidRPr="007D4B37">
        <w:rPr>
          <w:rFonts w:ascii="Times New Roman" w:hAnsi="Times New Roman" w:cs="Times New Roman"/>
          <w:sz w:val="24"/>
          <w:szCs w:val="24"/>
        </w:rPr>
        <w:br/>
      </w:r>
    </w:p>
    <w:p w14:paraId="7CBADE18" w14:textId="7BC9D35E" w:rsidR="00FD738A" w:rsidRPr="007D4B37" w:rsidRDefault="002518AE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Портал данных </w:t>
      </w:r>
      <w:hyperlink r:id="rId27" w:history="1">
        <w:r w:rsidRPr="007D4B37">
          <w:rPr>
            <w:rStyle w:val="a6"/>
            <w:rFonts w:ascii="Times New Roman" w:hAnsi="Times New Roman" w:cs="Times New Roman"/>
            <w:sz w:val="24"/>
            <w:szCs w:val="24"/>
          </w:rPr>
          <w:t>GOA-ON</w:t>
        </w:r>
      </w:hyperlink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предоставляет данные открытого доступа в дополнение к инвентаризации активов глобального мониторинга. Портал имеет два уровня доступа: 1) визуализация и 2) возможности загрузки. </w:t>
      </w:r>
      <w:proofErr w:type="gram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Объединение различных наборов данных открытого доступа может послужить стимулом для создания новых систем наблюдений в недостаточно отобранных районах и для более широкого применения политик данных открытого доступа во всем мире в соответствии с Критериями МОК и Руководством по передаче морской технологии</w:t>
      </w:r>
      <w:r w:rsidRPr="007D4B37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. Подробн</w:t>
      </w:r>
      <w:r w:rsidR="00FD738A" w:rsidRPr="007D4B37">
        <w:rPr>
          <w:rStyle w:val="tlid-translation"/>
          <w:rFonts w:ascii="Times New Roman" w:hAnsi="Times New Roman" w:cs="Times New Roman"/>
          <w:sz w:val="24"/>
          <w:szCs w:val="24"/>
        </w:rPr>
        <w:t>ые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FD738A" w:rsidRPr="007D4B37">
        <w:rPr>
          <w:rStyle w:val="tlid-translation"/>
          <w:rFonts w:ascii="Times New Roman" w:hAnsi="Times New Roman" w:cs="Times New Roman"/>
          <w:sz w:val="24"/>
          <w:szCs w:val="24"/>
        </w:rPr>
        <w:t>м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етаданные </w:t>
      </w:r>
      <w:r w:rsidR="00FD738A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по показателю ЦУР 14.3.1 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и формы данных (часть окончательной методологии для обеспечения взаимной сопоставимости измерений) будут размещены</w:t>
      </w:r>
      <w:proofErr w:type="gram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на веб-сайте GOA-ON. Запрашиваемая информация будет включать подробное описание среды обитания, которое потребуется для оценки естественных и антропогенных причин изменчивости в наборах данных.</w:t>
      </w:r>
    </w:p>
    <w:p w14:paraId="26386D72" w14:textId="77777777" w:rsidR="007D4B37" w:rsidRDefault="007D4B37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7F7E86B3" w14:textId="77777777" w:rsidR="00FD738A" w:rsidRPr="007D4B37" w:rsidRDefault="002518AE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Процесс сбора:</w:t>
      </w:r>
    </w:p>
    <w:p w14:paraId="586E1F50" w14:textId="022CA3BF" w:rsidR="00FD738A" w:rsidRPr="007D4B37" w:rsidRDefault="002518AE" w:rsidP="007D4B37">
      <w:pPr>
        <w:pStyle w:val="af"/>
        <w:numPr>
          <w:ilvl w:val="0"/>
          <w:numId w:val="7"/>
        </w:numPr>
        <w:spacing w:before="100" w:beforeAutospacing="1" w:after="100" w:afterAutospacing="1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Партнеры:</w:t>
      </w:r>
    </w:p>
    <w:p w14:paraId="2B931EEB" w14:textId="4CE6D493" w:rsidR="00FD738A" w:rsidRPr="007D4B37" w:rsidRDefault="002518AE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Официальными партнерами являются координаторы МОК. Первоначально МОК свяжется с ними, а также с национальными центрами океанографических данных (НЦОД), чтобы запросить соответствующие данные у соответствующих национальных центр</w:t>
      </w:r>
      <w:r w:rsidR="00FD738A" w:rsidRPr="007D4B37">
        <w:rPr>
          <w:rStyle w:val="tlid-translation"/>
          <w:rFonts w:ascii="Times New Roman" w:hAnsi="Times New Roman" w:cs="Times New Roman"/>
          <w:sz w:val="24"/>
          <w:szCs w:val="24"/>
        </w:rPr>
        <w:t>ов океанографических данных и/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или соответствующих ученых, учреждений или программ. Ежегодный запрос о предоставлении данных будет разослан непосредственно странам-членам, запрашивающим соответствующие данные и метаданные. Предполагается, что онлайн интерфейс представления, который будет разработан в сотрудничестве с 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существующими океанографическими центрами данных о выбросах углерода и платформами биогеохимических данных, облегчит процесс представления в будущем.</w:t>
      </w:r>
    </w:p>
    <w:p w14:paraId="55493482" w14:textId="1107D5C8" w:rsidR="00FD738A" w:rsidRPr="007D4B37" w:rsidRDefault="002518AE" w:rsidP="007D4B37">
      <w:pPr>
        <w:pStyle w:val="af"/>
        <w:numPr>
          <w:ilvl w:val="0"/>
          <w:numId w:val="7"/>
        </w:numPr>
        <w:spacing w:before="100" w:beforeAutospacing="1" w:after="100" w:afterAutospacing="1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Валидация</w:t>
      </w:r>
      <w:proofErr w:type="spellEnd"/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и процесс консультаций:</w:t>
      </w:r>
    </w:p>
    <w:p w14:paraId="33F253A7" w14:textId="74703E02" w:rsidR="002518AE" w:rsidRDefault="002518AE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Партнерам предлагается предоставить ссылки (метаданные) на предоставленную информацию. Механизмы контроля качества более подробно описаны ниже в этом документе (см. Контроль качества).</w:t>
      </w:r>
    </w:p>
    <w:p w14:paraId="5FCB42AC" w14:textId="77777777" w:rsidR="001D09CD" w:rsidRPr="002A6775" w:rsidRDefault="001D09CD" w:rsidP="001D09C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3C9ADBC" w14:textId="77777777" w:rsidR="001D09CD" w:rsidRPr="002A6775" w:rsidRDefault="001D09CD" w:rsidP="001D09CD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Доступность данных </w:t>
      </w:r>
    </w:p>
    <w:p w14:paraId="3B1AB254" w14:textId="77777777" w:rsidR="001D09CD" w:rsidRPr="002A6775" w:rsidRDefault="001D09CD" w:rsidP="001D09C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6311EB8" w14:textId="77777777" w:rsidR="007D4B37" w:rsidRDefault="002518AE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Описание:</w:t>
      </w:r>
    </w:p>
    <w:p w14:paraId="225F27B2" w14:textId="77777777" w:rsidR="007D4B37" w:rsidRDefault="002518AE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В феврале 2018 г. МООД и штаб-квартира МОК провели онлайн-опрос среди </w:t>
      </w:r>
      <w:r w:rsidR="00434A2A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NODC и ADU 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с запросом информации о национальных и институциональных наборах данных, связанных с 14.3.1. В общей сложности 30 центров данных ответили положительно, что они содержат и обслуживают наборы биогеохимических данных; 21 центр</w:t>
      </w:r>
      <w:r w:rsidR="00FD738A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данных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обслуживает все 4 параметра (DIC, TA, </w:t>
      </w:r>
      <w:proofErr w:type="spell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pH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, pCO</w:t>
      </w:r>
      <w:r w:rsidR="00434A2A" w:rsidRPr="007D4B37">
        <w:rPr>
          <w:rStyle w:val="tlid-translation"/>
          <w:rFonts w:ascii="Times New Roman" w:hAnsi="Times New Roman" w:cs="Times New Roman"/>
          <w:sz w:val="24"/>
          <w:szCs w:val="24"/>
          <w:vertAlign w:val="subscript"/>
        </w:rPr>
        <w:t>2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). Однако только 14 центров также предоставляют соответствующие метаданные. Список из 21 центра обработки данных, в которых размещены все 4 параметра:</w:t>
      </w:r>
    </w:p>
    <w:p w14:paraId="030B7BFA" w14:textId="37828CDD" w:rsidR="00FD738A" w:rsidRPr="007D4B37" w:rsidRDefault="002518AE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t>Европа: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RBINS (Бельгия), BODC (Великобритания), VLIZ (Бельгия), Морской институт (Ирландия), Центр </w:t>
      </w:r>
      <w:r w:rsidR="00FD738A" w:rsidRPr="007D4B37">
        <w:rPr>
          <w:rStyle w:val="tlid-translation"/>
          <w:rFonts w:ascii="Times New Roman" w:hAnsi="Times New Roman" w:cs="Times New Roman"/>
          <w:sz w:val="24"/>
          <w:szCs w:val="24"/>
        </w:rPr>
        <w:t>климатических данных Бьеркнес/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Океанский тематический центр RI ICOS (Норвегия)</w:t>
      </w:r>
      <w:r w:rsidR="00FD738A" w:rsidRPr="007D4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65D35" w14:textId="77777777" w:rsidR="009C01BC" w:rsidRPr="007D4B37" w:rsidRDefault="002518AE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t>Северная Америка: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Университет Южной Флор</w:t>
      </w:r>
      <w:r w:rsidR="00FD738A" w:rsidRPr="007D4B37">
        <w:rPr>
          <w:rStyle w:val="tlid-translation"/>
          <w:rFonts w:ascii="Times New Roman" w:hAnsi="Times New Roman" w:cs="Times New Roman"/>
          <w:sz w:val="24"/>
          <w:szCs w:val="24"/>
        </w:rPr>
        <w:t>иды (США), DFO (Канада), NCEI /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OCADS (США), WHOI (США), NCEI (США), NCEI (США), </w:t>
      </w:r>
      <w:proofErr w:type="spell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Scripps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(США)</w:t>
      </w:r>
      <w:r w:rsidRPr="007D4B37">
        <w:rPr>
          <w:rFonts w:ascii="Times New Roman" w:hAnsi="Times New Roman" w:cs="Times New Roman"/>
          <w:sz w:val="24"/>
          <w:szCs w:val="24"/>
        </w:rPr>
        <w:br/>
      </w:r>
      <w:r w:rsidRPr="007D4B37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t>Южная Америка:</w:t>
      </w:r>
      <w:proofErr w:type="gram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Универ</w:t>
      </w:r>
      <w:r w:rsidR="00FD738A" w:rsidRPr="007D4B37">
        <w:rPr>
          <w:rStyle w:val="tlid-translation"/>
          <w:rFonts w:ascii="Times New Roman" w:hAnsi="Times New Roman" w:cs="Times New Roman"/>
          <w:sz w:val="24"/>
          <w:szCs w:val="24"/>
        </w:rPr>
        <w:t>ситет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Симон</w:t>
      </w:r>
      <w:r w:rsidR="00FD738A" w:rsidRPr="007D4B37">
        <w:rPr>
          <w:rStyle w:val="tlid-translation"/>
          <w:rFonts w:ascii="Times New Roman" w:hAnsi="Times New Roman" w:cs="Times New Roman"/>
          <w:sz w:val="24"/>
          <w:szCs w:val="24"/>
        </w:rPr>
        <w:t>а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Боливар</w:t>
      </w:r>
      <w:r w:rsidR="00FD738A" w:rsidRPr="007D4B37">
        <w:rPr>
          <w:rStyle w:val="tlid-translation"/>
          <w:rFonts w:ascii="Times New Roman" w:hAnsi="Times New Roman" w:cs="Times New Roman"/>
          <w:sz w:val="24"/>
          <w:szCs w:val="24"/>
        </w:rPr>
        <w:t>а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(Венесуэла),</w:t>
      </w:r>
      <w:r w:rsidR="00FD738A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Национальный исследовательский 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институт </w:t>
      </w:r>
      <w:proofErr w:type="spellStart"/>
      <w:r w:rsidR="00FD738A" w:rsidRPr="007D4B37">
        <w:rPr>
          <w:rStyle w:val="tlid-translation"/>
          <w:rFonts w:ascii="Times New Roman" w:hAnsi="Times New Roman" w:cs="Times New Roman"/>
          <w:sz w:val="24"/>
          <w:szCs w:val="24"/>
        </w:rPr>
        <w:t>Д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есарролло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Пескеро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(</w:t>
      </w:r>
      <w:r w:rsidR="00FD738A" w:rsidRPr="007D4B37">
        <w:rPr>
          <w:rStyle w:val="tlid-translation"/>
          <w:rFonts w:ascii="Times New Roman" w:hAnsi="Times New Roman" w:cs="Times New Roman"/>
          <w:sz w:val="24"/>
          <w:szCs w:val="24"/>
        </w:rPr>
        <w:t>INIDEP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) (Аргентина)</w:t>
      </w:r>
      <w:r w:rsidR="00FD738A" w:rsidRPr="007D4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C6A74" w14:textId="77777777" w:rsidR="009C01BC" w:rsidRPr="007D4B37" w:rsidRDefault="002518AE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t>Африка: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КМФРИ (Кения)</w:t>
      </w:r>
      <w:r w:rsidR="009C01BC" w:rsidRPr="007D4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E3A0" w14:textId="77777777" w:rsidR="007D4B37" w:rsidRDefault="002518AE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t>Тихий океан: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Национальный институт водных и атмосферных исследований (Новая Зеландия)</w:t>
      </w:r>
    </w:p>
    <w:p w14:paraId="7C155E46" w14:textId="66D6BC93" w:rsidR="009C01BC" w:rsidRDefault="002518AE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t>Азия: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JODC (Япония), JMA (Япония), MIRC (Япония), </w:t>
      </w:r>
      <w:r w:rsidR="009C01BC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МОРСКОЙ ГИДРОФИЗИЧЕСКИЙ ИНСТИТУТ РАН 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(Российская Федерация), РГП </w:t>
      </w:r>
      <w:proofErr w:type="spell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Казгидромет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(Казахстан)</w:t>
      </w:r>
    </w:p>
    <w:p w14:paraId="570D382E" w14:textId="77777777" w:rsidR="007D4B37" w:rsidRPr="007D4B37" w:rsidRDefault="007D4B37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4FCE8F39" w14:textId="576A7AB4" w:rsidR="009C01BC" w:rsidRPr="007D4B37" w:rsidRDefault="002518AE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Временные </w:t>
      </w:r>
      <w:r w:rsidR="00434A2A"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р</w:t>
      </w:r>
      <w:r w:rsidR="009C01BC"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яды</w:t>
      </w:r>
      <w:r w:rsidRPr="007D4B37">
        <w:rPr>
          <w:rStyle w:val="tlid-translation"/>
          <w:rFonts w:ascii="Times New Roman" w:hAnsi="Times New Roman" w:cs="Times New Roman"/>
          <w:b/>
          <w:sz w:val="24"/>
          <w:szCs w:val="24"/>
        </w:rPr>
        <w:t>:</w:t>
      </w:r>
    </w:p>
    <w:p w14:paraId="4CD28310" w14:textId="03CB70CE" w:rsidR="002518AE" w:rsidRPr="007D4B37" w:rsidRDefault="002518AE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Первая оценка в 2018 году будет включать данные с контролем качества первого уровня, начиная с 2010 года, включая данные, если таковые имеются (</w:t>
      </w:r>
      <w:r w:rsidR="009C01BC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за 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все годы или </w:t>
      </w:r>
      <w:r w:rsidR="009C01BC" w:rsidRPr="007D4B37">
        <w:rPr>
          <w:rStyle w:val="tlid-translation"/>
          <w:rFonts w:ascii="Times New Roman" w:hAnsi="Times New Roman" w:cs="Times New Roman"/>
          <w:sz w:val="24"/>
          <w:szCs w:val="24"/>
        </w:rPr>
        <w:t>выборки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).</w:t>
      </w:r>
    </w:p>
    <w:p w14:paraId="7334789C" w14:textId="77777777" w:rsidR="001D09CD" w:rsidRPr="002A6775" w:rsidRDefault="001D09CD" w:rsidP="001D09C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F03F25B" w14:textId="77777777" w:rsidR="001D09CD" w:rsidRPr="002A6775" w:rsidRDefault="001D09CD" w:rsidP="001D09CD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Календарь </w:t>
      </w:r>
    </w:p>
    <w:p w14:paraId="1575664D" w14:textId="77777777" w:rsidR="001D09CD" w:rsidRPr="002A6775" w:rsidRDefault="001D09CD" w:rsidP="001D09C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F60673E" w14:textId="3B1390ED" w:rsidR="009C01BC" w:rsidRPr="00203DD8" w:rsidRDefault="00434A2A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D8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Сбор </w:t>
      </w:r>
      <w:r w:rsidR="005706BD" w:rsidRPr="00203DD8">
        <w:rPr>
          <w:rStyle w:val="tlid-translation"/>
          <w:rFonts w:ascii="Times New Roman" w:hAnsi="Times New Roman" w:cs="Times New Roman"/>
          <w:b/>
          <w:sz w:val="24"/>
          <w:szCs w:val="24"/>
        </w:rPr>
        <w:t>данных</w:t>
      </w:r>
      <w:r w:rsidRPr="00203DD8">
        <w:rPr>
          <w:rStyle w:val="tlid-translation"/>
          <w:rFonts w:ascii="Times New Roman" w:hAnsi="Times New Roman" w:cs="Times New Roman"/>
          <w:b/>
          <w:sz w:val="24"/>
          <w:szCs w:val="24"/>
        </w:rPr>
        <w:t>:</w:t>
      </w:r>
    </w:p>
    <w:p w14:paraId="2EC14F2E" w14:textId="77777777" w:rsidR="009C01BC" w:rsidRPr="007D4B37" w:rsidRDefault="00434A2A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Национальные наборы данных должны представляться ежегодно (как минимум). Следующий сбор данных начнется в феврале 2019 года.</w:t>
      </w:r>
    </w:p>
    <w:p w14:paraId="28CE9FDB" w14:textId="77777777" w:rsidR="00203DD8" w:rsidRDefault="00203DD8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660596EE" w14:textId="6EFFED8D" w:rsidR="009C01BC" w:rsidRPr="00203DD8" w:rsidRDefault="005706BD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D8">
        <w:rPr>
          <w:rStyle w:val="tlid-translation"/>
          <w:rFonts w:ascii="Times New Roman" w:hAnsi="Times New Roman" w:cs="Times New Roman"/>
          <w:b/>
          <w:sz w:val="24"/>
          <w:szCs w:val="24"/>
        </w:rPr>
        <w:t>Выпуск</w:t>
      </w:r>
      <w:r w:rsidR="00434A2A" w:rsidRPr="00203DD8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данных:</w:t>
      </w:r>
    </w:p>
    <w:p w14:paraId="5CC55E40" w14:textId="6C663E67" w:rsidR="009C01BC" w:rsidRPr="007D4B37" w:rsidRDefault="00434A2A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Первые запросы данны</w:t>
      </w:r>
      <w:r w:rsidR="005706BD" w:rsidRPr="007D4B37">
        <w:rPr>
          <w:rStyle w:val="tlid-translation"/>
          <w:rFonts w:ascii="Times New Roman" w:hAnsi="Times New Roman" w:cs="Times New Roman"/>
          <w:sz w:val="24"/>
          <w:szCs w:val="24"/>
        </w:rPr>
        <w:t>х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были отправлены в НЦОД в августе 2018 года, а полученные данные в настоящее время проходят вторичный контроль качества. Следующие данные станут доступны во втором квартале 2019 года.</w:t>
      </w:r>
    </w:p>
    <w:p w14:paraId="0C4D1F86" w14:textId="77777777" w:rsidR="001D09CD" w:rsidRPr="002A6775" w:rsidRDefault="001D09CD" w:rsidP="001D09C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5BF08C3" w14:textId="77777777" w:rsidR="001D09CD" w:rsidRPr="002A6775" w:rsidRDefault="001D09CD" w:rsidP="001D09CD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Поставщики данных </w:t>
      </w:r>
    </w:p>
    <w:p w14:paraId="0CBFD358" w14:textId="77777777" w:rsidR="001D09CD" w:rsidRPr="002A6775" w:rsidRDefault="001D09CD" w:rsidP="001D09C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68FCC42" w14:textId="39F1F6EB" w:rsidR="005706BD" w:rsidRDefault="00434A2A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Общий процесс сбора данных МОК описан в документе IOC-XXIX / 2Annex 14. Новизна оценки </w:t>
      </w:r>
      <w:proofErr w:type="spellStart"/>
      <w:r w:rsidR="005706BD" w:rsidRPr="007D4B37">
        <w:rPr>
          <w:rStyle w:val="tlid-translation"/>
          <w:rFonts w:ascii="Times New Roman" w:hAnsi="Times New Roman" w:cs="Times New Roman"/>
          <w:sz w:val="24"/>
          <w:szCs w:val="24"/>
        </w:rPr>
        <w:t>за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кисления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океана на глобальном уровне, как и для этого показателя 14.3.1, требует от секретариата МОК сбора </w:t>
      </w:r>
      <w:r w:rsidR="005706BD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данных по ряду различных путей. 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Это будет включать прямые запросы в национальные статистические </w:t>
      </w:r>
      <w:r w:rsidR="005706BD" w:rsidRPr="007D4B37">
        <w:rPr>
          <w:rStyle w:val="tlid-translation"/>
          <w:rFonts w:ascii="Times New Roman" w:hAnsi="Times New Roman" w:cs="Times New Roman"/>
          <w:sz w:val="24"/>
          <w:szCs w:val="24"/>
        </w:rPr>
        <w:t>организации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(НС</w:t>
      </w:r>
      <w:r w:rsidR="005706BD" w:rsidRPr="007D4B37">
        <w:rPr>
          <w:rStyle w:val="tlid-translation"/>
          <w:rFonts w:ascii="Times New Roman" w:hAnsi="Times New Roman" w:cs="Times New Roman"/>
          <w:sz w:val="24"/>
          <w:szCs w:val="24"/>
        </w:rPr>
        <w:t>О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), ежегодные запросы в национальные координационные центры МОК, а также в НЦОД и связанные агентства данных в государствах-членах, а также в международные центры данных и поставщиков данных, которые предоставили дан</w:t>
      </w:r>
      <w:r w:rsidR="005706BD" w:rsidRPr="007D4B37">
        <w:rPr>
          <w:rStyle w:val="tlid-translation"/>
          <w:rFonts w:ascii="Times New Roman" w:hAnsi="Times New Roman" w:cs="Times New Roman"/>
          <w:sz w:val="24"/>
          <w:szCs w:val="24"/>
        </w:rPr>
        <w:t>ные для портала данных</w:t>
      </w:r>
      <w:r w:rsidR="005706BD" w:rsidRPr="007D4B37">
        <w:rPr>
          <w:rFonts w:ascii="Times New Roman" w:hAnsi="Times New Roman" w:cs="Times New Roman"/>
          <w:sz w:val="24"/>
          <w:szCs w:val="24"/>
        </w:rPr>
        <w:t xml:space="preserve"> </w:t>
      </w:r>
      <w:r w:rsidR="005706BD" w:rsidRPr="007D4B37">
        <w:rPr>
          <w:rStyle w:val="tlid-translation"/>
          <w:rFonts w:ascii="Times New Roman" w:hAnsi="Times New Roman" w:cs="Times New Roman"/>
          <w:sz w:val="24"/>
          <w:szCs w:val="24"/>
        </w:rPr>
        <w:t>GOA-ON.</w:t>
      </w:r>
    </w:p>
    <w:p w14:paraId="2BD24C08" w14:textId="77777777" w:rsidR="001D09CD" w:rsidRPr="002A6775" w:rsidRDefault="001D09CD" w:rsidP="001D09C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DBB9A36" w14:textId="77777777" w:rsidR="001D09CD" w:rsidRPr="002A6775" w:rsidRDefault="001D09CD" w:rsidP="001D09CD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Составители данных</w:t>
      </w:r>
    </w:p>
    <w:p w14:paraId="6117D225" w14:textId="77777777" w:rsidR="001D09CD" w:rsidRPr="002A6775" w:rsidRDefault="001D09CD" w:rsidP="001D09C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5ADC5E" w14:textId="72274E16" w:rsidR="00434A2A" w:rsidRPr="007D4B37" w:rsidRDefault="00434A2A" w:rsidP="007D4B3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Межправительственная океанографическая комиссия (МОК) ЮНЕСКО является учреждением-</w:t>
      </w:r>
      <w:r w:rsidR="005706BD" w:rsidRPr="007D4B37">
        <w:rPr>
          <w:rStyle w:val="tlid-translation"/>
          <w:rFonts w:ascii="Times New Roman" w:hAnsi="Times New Roman" w:cs="Times New Roman"/>
          <w:sz w:val="24"/>
          <w:szCs w:val="24"/>
        </w:rPr>
        <w:t>куратором по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это</w:t>
      </w:r>
      <w:r w:rsidR="005706BD" w:rsidRPr="007D4B37">
        <w:rPr>
          <w:rStyle w:val="tlid-translation"/>
          <w:rFonts w:ascii="Times New Roman" w:hAnsi="Times New Roman" w:cs="Times New Roman"/>
          <w:sz w:val="24"/>
          <w:szCs w:val="24"/>
        </w:rPr>
        <w:t>му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показател</w:t>
      </w:r>
      <w:r w:rsidR="005706BD" w:rsidRPr="007D4B37">
        <w:rPr>
          <w:rStyle w:val="tlid-translation"/>
          <w:rFonts w:ascii="Times New Roman" w:hAnsi="Times New Roman" w:cs="Times New Roman"/>
          <w:sz w:val="24"/>
          <w:szCs w:val="24"/>
        </w:rPr>
        <w:t>ю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. В сотрудничестве</w:t>
      </w:r>
      <w:r w:rsidR="005706BD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с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5706BD"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Комитетом по международному обмену океанографическими данными и информацией (МООД) </w:t>
      </w:r>
      <w:proofErr w:type="gramStart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МОК</w:t>
      </w:r>
      <w:proofErr w:type="gram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 xml:space="preserve">данные будут собираться и храниться прозрачным и прослеживаемым образом, что позволит обмениваться данными о </w:t>
      </w:r>
      <w:proofErr w:type="spellStart"/>
      <w:r w:rsidR="005706BD" w:rsidRPr="007D4B37">
        <w:rPr>
          <w:rStyle w:val="tlid-translation"/>
          <w:rFonts w:ascii="Times New Roman" w:hAnsi="Times New Roman" w:cs="Times New Roman"/>
          <w:sz w:val="24"/>
          <w:szCs w:val="24"/>
        </w:rPr>
        <w:t>за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кислении</w:t>
      </w:r>
      <w:proofErr w:type="spellEnd"/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океана.</w:t>
      </w:r>
    </w:p>
    <w:p w14:paraId="2756BDFB" w14:textId="77777777" w:rsidR="001D09CD" w:rsidRPr="002A6775" w:rsidRDefault="001D09CD" w:rsidP="001D09C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5C314EF" w14:textId="77777777" w:rsidR="001D09CD" w:rsidRPr="002A6775" w:rsidRDefault="001D09CD" w:rsidP="001D09CD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Ссылки </w:t>
      </w:r>
    </w:p>
    <w:p w14:paraId="6806EAFD" w14:textId="77777777" w:rsidR="001D09CD" w:rsidRPr="002A6775" w:rsidRDefault="001D09CD" w:rsidP="001D09C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60CB855" w14:textId="77777777" w:rsidR="00434A2A" w:rsidRPr="007D4B37" w:rsidRDefault="00434A2A" w:rsidP="007D4B37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D4B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URL: </w:t>
      </w:r>
    </w:p>
    <w:p w14:paraId="5B20EC02" w14:textId="14252892" w:rsidR="00434A2A" w:rsidRPr="00203DD8" w:rsidRDefault="00434A2A" w:rsidP="007D4B37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D4B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IOC-UNESCO </w:t>
      </w:r>
      <w:hyperlink r:id="rId28" w:history="1">
        <w:r w:rsidRPr="007D4B3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http://www.ioc-unesco.org/</w:t>
        </w:r>
      </w:hyperlink>
    </w:p>
    <w:p w14:paraId="0D7DA425" w14:textId="31FAB301" w:rsidR="00434A2A" w:rsidRPr="00203DD8" w:rsidRDefault="00434A2A" w:rsidP="007D4B37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D4B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IODE </w:t>
      </w:r>
      <w:hyperlink r:id="rId29" w:history="1">
        <w:r w:rsidRPr="007D4B3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https://www.iode.org/</w:t>
        </w:r>
      </w:hyperlink>
    </w:p>
    <w:p w14:paraId="280EE26E" w14:textId="3B0DC71E" w:rsidR="00434A2A" w:rsidRPr="00203DD8" w:rsidRDefault="00434A2A" w:rsidP="007D4B37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D4B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GOA-ON </w:t>
      </w:r>
      <w:hyperlink r:id="rId30" w:history="1">
        <w:r w:rsidRPr="007D4B3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http://goa-on.org/</w:t>
        </w:r>
      </w:hyperlink>
    </w:p>
    <w:p w14:paraId="5E115845" w14:textId="076D4DE3" w:rsidR="00434A2A" w:rsidRPr="00203DD8" w:rsidRDefault="00434A2A" w:rsidP="007D4B37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D4B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GOA-ON data portal </w:t>
      </w:r>
      <w:hyperlink r:id="rId31" w:history="1">
        <w:r w:rsidRPr="007D4B3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http://portal.goa-on.org/</w:t>
        </w:r>
      </w:hyperlink>
    </w:p>
    <w:p w14:paraId="5A7445C0" w14:textId="62EFAB61" w:rsidR="00434A2A" w:rsidRPr="00203DD8" w:rsidRDefault="00434A2A" w:rsidP="007D4B37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D4B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Document IOC/EC-LI/2 Annex 6 -14.3.1 Methodology </w:t>
      </w:r>
      <w:hyperlink r:id="rId32" w:history="1">
        <w:r w:rsidRPr="007D4B3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http://ioc-unesco.org/index.php?option=com_oe&amp;task=viewDocumentRecord&amp;docID=21938</w:t>
        </w:r>
      </w:hyperlink>
    </w:p>
    <w:p w14:paraId="399F853F" w14:textId="77777777" w:rsidR="00203DD8" w:rsidRPr="00203DD8" w:rsidRDefault="00434A2A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D4B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Document IOC-XXIX/2Annex 14 </w:t>
      </w:r>
      <w:hyperlink r:id="rId33" w:history="1">
        <w:r w:rsidRPr="007D4B3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http://www.ioc-unesco.org/index.php?option=com_oe&amp;task=viewDocumentRecord&amp;docID=19589</w:t>
        </w:r>
      </w:hyperlink>
    </w:p>
    <w:p w14:paraId="012F2EEB" w14:textId="77777777" w:rsidR="00203DD8" w:rsidRPr="001D09CD" w:rsidRDefault="00203DD8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B31CA84" w14:textId="0A279144" w:rsidR="00434A2A" w:rsidRPr="00203DD8" w:rsidRDefault="00434A2A" w:rsidP="00203DD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B37">
        <w:rPr>
          <w:rStyle w:val="gt-baf-cell"/>
          <w:rFonts w:ascii="Times New Roman" w:hAnsi="Times New Roman" w:cs="Times New Roman"/>
          <w:b/>
          <w:sz w:val="24"/>
          <w:szCs w:val="24"/>
        </w:rPr>
        <w:t>Ссылки</w:t>
      </w:r>
    </w:p>
    <w:p w14:paraId="1CF4F926" w14:textId="1A90DB95" w:rsidR="00434A2A" w:rsidRPr="00203DD8" w:rsidRDefault="00434A2A" w:rsidP="00203DD8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B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Dickson, A.G., Sabine, C.L. and Christian, J.R. (Eds.) (2007) </w:t>
      </w:r>
      <w:r w:rsidRPr="007D4B3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Guide to best practices for ocean CO2 measurements</w:t>
      </w:r>
      <w:r w:rsidRPr="007D4B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D4B37">
        <w:rPr>
          <w:rFonts w:ascii="Times New Roman" w:hAnsi="Times New Roman" w:cs="Times New Roman"/>
          <w:color w:val="000000"/>
          <w:sz w:val="24"/>
          <w:szCs w:val="24"/>
        </w:rPr>
        <w:t xml:space="preserve">PICES </w:t>
      </w:r>
      <w:proofErr w:type="spellStart"/>
      <w:r w:rsidRPr="007D4B37">
        <w:rPr>
          <w:rFonts w:ascii="Times New Roman" w:hAnsi="Times New Roman" w:cs="Times New Roman"/>
          <w:color w:val="000000"/>
          <w:sz w:val="24"/>
          <w:szCs w:val="24"/>
        </w:rPr>
        <w:t>Special</w:t>
      </w:r>
      <w:proofErr w:type="spellEnd"/>
      <w:r w:rsidRPr="007D4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B37">
        <w:rPr>
          <w:rFonts w:ascii="Times New Roman" w:hAnsi="Times New Roman" w:cs="Times New Roman"/>
          <w:color w:val="000000"/>
          <w:sz w:val="24"/>
          <w:szCs w:val="24"/>
        </w:rPr>
        <w:t>Publication</w:t>
      </w:r>
      <w:proofErr w:type="spellEnd"/>
      <w:r w:rsidRPr="007D4B37">
        <w:rPr>
          <w:rFonts w:ascii="Times New Roman" w:hAnsi="Times New Roman" w:cs="Times New Roman"/>
          <w:color w:val="000000"/>
          <w:sz w:val="24"/>
          <w:szCs w:val="24"/>
        </w:rPr>
        <w:t xml:space="preserve"> 3, 191 </w:t>
      </w:r>
      <w:proofErr w:type="spellStart"/>
      <w:r w:rsidRPr="007D4B37">
        <w:rPr>
          <w:rFonts w:ascii="Times New Roman" w:hAnsi="Times New Roman" w:cs="Times New Roman"/>
          <w:color w:val="000000"/>
          <w:sz w:val="24"/>
          <w:szCs w:val="24"/>
        </w:rPr>
        <w:t>pp</w:t>
      </w:r>
      <w:proofErr w:type="spellEnd"/>
      <w:r w:rsidRPr="007D4B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DCAECFC" w14:textId="787438A5" w:rsidR="00434A2A" w:rsidRPr="00203DD8" w:rsidRDefault="00434A2A" w:rsidP="00203DD8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D4B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Newton J. A., Feeley, R. A., Jewett, E. B., Williamson, P. and Mathis, J. (2015) Global Ocean Acidification Observing Network: Requirements and Governance Plan (2nd edition) </w:t>
      </w:r>
    </w:p>
    <w:p w14:paraId="3CF227A2" w14:textId="1A3F0F11" w:rsidR="00434A2A" w:rsidRPr="007D4B37" w:rsidRDefault="00434A2A" w:rsidP="00203DD8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D4B37">
        <w:rPr>
          <w:rFonts w:ascii="Times New Roman" w:hAnsi="Times New Roman" w:cs="Times New Roman"/>
          <w:color w:val="000000"/>
          <w:sz w:val="24"/>
          <w:szCs w:val="24"/>
          <w:lang w:val="en-US"/>
        </w:rPr>
        <w:t>Riebesell</w:t>
      </w:r>
      <w:proofErr w:type="spellEnd"/>
      <w:r w:rsidRPr="007D4B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U., Fabry V. J., Hansson L. &amp; </w:t>
      </w:r>
      <w:proofErr w:type="spellStart"/>
      <w:r w:rsidRPr="007D4B37">
        <w:rPr>
          <w:rFonts w:ascii="Times New Roman" w:hAnsi="Times New Roman" w:cs="Times New Roman"/>
          <w:color w:val="000000"/>
          <w:sz w:val="24"/>
          <w:szCs w:val="24"/>
          <w:lang w:val="en-US"/>
        </w:rPr>
        <w:t>Gattuso</w:t>
      </w:r>
      <w:proofErr w:type="spellEnd"/>
      <w:r w:rsidRPr="007D4B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J.-P. (Eds.) (2011) Guide to best practices for ocean acidification research and data reporting. Luxembourg, Publications Office of the European Union, 258pp. (EUR 24872 EN). </w:t>
      </w:r>
    </w:p>
    <w:p w14:paraId="7635549D" w14:textId="77777777" w:rsidR="001D09CD" w:rsidRPr="002A6775" w:rsidRDefault="001D09CD" w:rsidP="001D09C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6FBF79A" w14:textId="77777777" w:rsidR="001D09CD" w:rsidRPr="002A6775" w:rsidRDefault="001D09CD" w:rsidP="001D09CD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Связанные показатели </w:t>
      </w:r>
    </w:p>
    <w:p w14:paraId="5152FA3F" w14:textId="77777777" w:rsidR="00203DD8" w:rsidRPr="00203DD8" w:rsidRDefault="00203DD8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</w:p>
    <w:p w14:paraId="0BFDD5B9" w14:textId="6D7FC499" w:rsidR="00434A2A" w:rsidRPr="007D4B37" w:rsidRDefault="00434A2A" w:rsidP="007D4B3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 xml:space="preserve">14.a Расширение научных знаний, развитие исследовательского потенциала и передача морской технологии с учетом Критериев и руководящих принципов 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Межправительственной океанографической комиссии по передаче морской технологии в целях улучшения состояния здоровья океана и повышения вклада морского биоразнообразия в развитие развивающи</w:t>
      </w:r>
      <w:r w:rsidR="005706BD" w:rsidRPr="007D4B37">
        <w:rPr>
          <w:rStyle w:val="tlid-translation"/>
          <w:rFonts w:ascii="Times New Roman" w:hAnsi="Times New Roman" w:cs="Times New Roman"/>
          <w:sz w:val="24"/>
          <w:szCs w:val="24"/>
        </w:rPr>
        <w:t>х</w:t>
      </w:r>
      <w:r w:rsidRPr="007D4B37">
        <w:rPr>
          <w:rStyle w:val="tlid-translation"/>
          <w:rFonts w:ascii="Times New Roman" w:hAnsi="Times New Roman" w:cs="Times New Roman"/>
          <w:sz w:val="24"/>
          <w:szCs w:val="24"/>
        </w:rPr>
        <w:t>ся стран, в частности малые островные развивающиеся государства и наименее развитые страны</w:t>
      </w:r>
    </w:p>
    <w:sectPr w:rsidR="00434A2A" w:rsidRPr="007D4B37">
      <w:headerReference w:type="default" r:id="rId34"/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49F1A" w14:textId="77777777" w:rsidR="00AB35FD" w:rsidRDefault="00AB35FD" w:rsidP="008520EC">
      <w:pPr>
        <w:spacing w:after="0" w:line="240" w:lineRule="auto"/>
      </w:pPr>
      <w:r>
        <w:separator/>
      </w:r>
    </w:p>
  </w:endnote>
  <w:endnote w:type="continuationSeparator" w:id="0">
    <w:p w14:paraId="60EB12E5" w14:textId="77777777" w:rsidR="00AB35FD" w:rsidRDefault="00AB35FD" w:rsidP="0085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026551"/>
      <w:docPartObj>
        <w:docPartGallery w:val="Page Numbers (Bottom of Page)"/>
        <w:docPartUnique/>
      </w:docPartObj>
    </w:sdtPr>
    <w:sdtEndPr/>
    <w:sdtContent>
      <w:p w14:paraId="0CE84EDF" w14:textId="2A2FE6FF" w:rsidR="00F315E9" w:rsidRDefault="00F315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9CD">
          <w:rPr>
            <w:noProof/>
          </w:rPr>
          <w:t>12</w:t>
        </w:r>
        <w:r>
          <w:fldChar w:fldCharType="end"/>
        </w:r>
      </w:p>
    </w:sdtContent>
  </w:sdt>
  <w:p w14:paraId="7B4487F5" w14:textId="77777777" w:rsidR="00F315E9" w:rsidRDefault="00F315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88E1A" w14:textId="77777777" w:rsidR="00AB35FD" w:rsidRDefault="00AB35FD" w:rsidP="008520EC">
      <w:pPr>
        <w:spacing w:after="0" w:line="240" w:lineRule="auto"/>
      </w:pPr>
      <w:r>
        <w:separator/>
      </w:r>
    </w:p>
  </w:footnote>
  <w:footnote w:type="continuationSeparator" w:id="0">
    <w:p w14:paraId="4A51FDA2" w14:textId="77777777" w:rsidR="00AB35FD" w:rsidRDefault="00AB35FD" w:rsidP="008520EC">
      <w:pPr>
        <w:spacing w:after="0" w:line="240" w:lineRule="auto"/>
      </w:pPr>
      <w:r>
        <w:continuationSeparator/>
      </w:r>
    </w:p>
  </w:footnote>
  <w:footnote w:id="1">
    <w:p w14:paraId="7094BFFD" w14:textId="4A9B803E" w:rsidR="008520EC" w:rsidRPr="007D4B37" w:rsidRDefault="008520EC" w:rsidP="008520EC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7D4B37">
        <w:rPr>
          <w:rStyle w:val="a5"/>
          <w:rFonts w:ascii="Times New Roman" w:hAnsi="Times New Roman" w:cs="Times New Roman"/>
          <w:sz w:val="20"/>
          <w:szCs w:val="20"/>
        </w:rPr>
        <w:footnoteRef/>
      </w:r>
      <w:proofErr w:type="gramStart"/>
      <w:r w:rsidRPr="007D4B37">
        <w:rPr>
          <w:rFonts w:ascii="Times New Roman" w:hAnsi="Times New Roman" w:cs="Times New Roman"/>
          <w:sz w:val="20"/>
          <w:szCs w:val="20"/>
          <w:lang w:val="en-US"/>
        </w:rPr>
        <w:t>NOAA.</w:t>
      </w:r>
      <w:proofErr w:type="gramEnd"/>
      <w:r w:rsidRPr="007D4B37">
        <w:rPr>
          <w:rFonts w:ascii="Times New Roman" w:hAnsi="Times New Roman" w:cs="Times New Roman"/>
          <w:sz w:val="20"/>
          <w:szCs w:val="20"/>
          <w:lang w:val="en-US"/>
        </w:rPr>
        <w:t xml:space="preserve"> What is ocean acidification? National Ocean Service website https://oceanservice.noaa.gov/facts/acidification.html, 06/25/18  </w:t>
      </w:r>
    </w:p>
  </w:footnote>
  <w:footnote w:id="2">
    <w:p w14:paraId="3CA8AE59" w14:textId="08D424A7" w:rsidR="008520EC" w:rsidRPr="007D4B37" w:rsidRDefault="008520EC" w:rsidP="008520EC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7D4B3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D4B37">
        <w:rPr>
          <w:rFonts w:ascii="Times New Roman" w:hAnsi="Times New Roman" w:cs="Times New Roman"/>
          <w:sz w:val="20"/>
          <w:szCs w:val="20"/>
          <w:lang w:val="en-US"/>
        </w:rPr>
        <w:t xml:space="preserve">IOC/EC-LI/2 Annex 6   </w:t>
      </w:r>
    </w:p>
  </w:footnote>
  <w:footnote w:id="3">
    <w:p w14:paraId="245DB1C8" w14:textId="0DE1A4AC" w:rsidR="00DF2F1B" w:rsidRPr="001D09CD" w:rsidRDefault="00DF2F1B">
      <w:pPr>
        <w:pStyle w:val="a3"/>
        <w:rPr>
          <w:rFonts w:ascii="Times New Roman" w:hAnsi="Times New Roman" w:cs="Times New Roman"/>
          <w:lang w:val="en-US"/>
        </w:rPr>
      </w:pPr>
      <w:r w:rsidRPr="001D09CD">
        <w:rPr>
          <w:rStyle w:val="a5"/>
          <w:rFonts w:ascii="Times New Roman" w:hAnsi="Times New Roman" w:cs="Times New Roman"/>
        </w:rPr>
        <w:footnoteRef/>
      </w:r>
      <w:r w:rsidRPr="001D09CD">
        <w:rPr>
          <w:rFonts w:ascii="Times New Roman" w:hAnsi="Times New Roman" w:cs="Times New Roman"/>
          <w:lang w:val="en-US"/>
        </w:rPr>
        <w:t xml:space="preserve"> https://www.iode.org/index.php?option=com_oe&amp;task=viewGroupRecord&amp;groupID=349  </w:t>
      </w:r>
    </w:p>
  </w:footnote>
  <w:footnote w:id="4">
    <w:p w14:paraId="01D78F48" w14:textId="74195A26" w:rsidR="00DF2F1B" w:rsidRPr="007D4B37" w:rsidRDefault="00DF2F1B">
      <w:pPr>
        <w:pStyle w:val="a3"/>
        <w:rPr>
          <w:rFonts w:ascii="Times New Roman" w:hAnsi="Times New Roman" w:cs="Times New Roman"/>
          <w:lang w:val="en-US"/>
        </w:rPr>
      </w:pPr>
      <w:r w:rsidRPr="007D4B37">
        <w:rPr>
          <w:rStyle w:val="a5"/>
          <w:rFonts w:ascii="Times New Roman" w:hAnsi="Times New Roman" w:cs="Times New Roman"/>
        </w:rPr>
        <w:footnoteRef/>
      </w:r>
      <w:r w:rsidRPr="007D4B37">
        <w:rPr>
          <w:rFonts w:ascii="Times New Roman" w:hAnsi="Times New Roman" w:cs="Times New Roman"/>
          <w:lang w:val="en-US"/>
        </w:rPr>
        <w:t xml:space="preserve"> IOC-XXIX/</w:t>
      </w:r>
      <w:r w:rsidR="007D4B37">
        <w:rPr>
          <w:rFonts w:ascii="Times New Roman" w:hAnsi="Times New Roman" w:cs="Times New Roman"/>
          <w:lang w:val="en-US"/>
        </w:rPr>
        <w:t>2Annex 14, IOC/EC-LI/2 Annex 6</w:t>
      </w:r>
    </w:p>
  </w:footnote>
  <w:footnote w:id="5">
    <w:p w14:paraId="5F263BBC" w14:textId="77777777" w:rsidR="007D4B37" w:rsidRPr="001D09CD" w:rsidRDefault="007D4B37">
      <w:pPr>
        <w:pStyle w:val="a3"/>
        <w:rPr>
          <w:rFonts w:ascii="Times New Roman" w:hAnsi="Times New Roman" w:cs="Times New Roman"/>
          <w:lang w:val="en-US"/>
        </w:rPr>
      </w:pPr>
    </w:p>
    <w:p w14:paraId="0C9477A2" w14:textId="72CFEE63" w:rsidR="002518AE" w:rsidRDefault="002518AE">
      <w:pPr>
        <w:pStyle w:val="a3"/>
      </w:pPr>
      <w:r w:rsidRPr="001D09CD">
        <w:rPr>
          <w:rStyle w:val="a5"/>
          <w:rFonts w:ascii="Times New Roman" w:hAnsi="Times New Roman" w:cs="Times New Roman"/>
        </w:rPr>
        <w:footnoteRef/>
      </w:r>
      <w:r w:rsidRPr="001D09C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D09CD">
        <w:rPr>
          <w:rFonts w:ascii="Times New Roman" w:hAnsi="Times New Roman" w:cs="Times New Roman"/>
          <w:lang w:val="en-US"/>
        </w:rPr>
        <w:t>Intergovernmental Oceanographic Commission.</w:t>
      </w:r>
      <w:proofErr w:type="gramEnd"/>
      <w:r w:rsidRPr="001D09CD">
        <w:rPr>
          <w:rFonts w:ascii="Times New Roman" w:hAnsi="Times New Roman" w:cs="Times New Roman"/>
          <w:lang w:val="en-US"/>
        </w:rPr>
        <w:t xml:space="preserve"> </w:t>
      </w:r>
      <w:r w:rsidRPr="001D09CD">
        <w:rPr>
          <w:rFonts w:ascii="Times New Roman" w:hAnsi="Times New Roman" w:cs="Times New Roman"/>
          <w:i/>
          <w:iCs/>
          <w:lang w:val="en-US"/>
        </w:rPr>
        <w:t xml:space="preserve">IOC Criteria and Guidelines on the Transfer of Marine Technology (CGTMT)/ </w:t>
      </w:r>
      <w:proofErr w:type="spellStart"/>
      <w:r w:rsidRPr="001D09CD">
        <w:rPr>
          <w:rFonts w:ascii="Times New Roman" w:hAnsi="Times New Roman" w:cs="Times New Roman"/>
          <w:i/>
          <w:iCs/>
          <w:lang w:val="en-US"/>
        </w:rPr>
        <w:t>Critères</w:t>
      </w:r>
      <w:proofErr w:type="spellEnd"/>
      <w:r w:rsidRPr="001D09CD">
        <w:rPr>
          <w:rFonts w:ascii="Times New Roman" w:hAnsi="Times New Roman" w:cs="Times New Roman"/>
          <w:i/>
          <w:iCs/>
          <w:lang w:val="en-US"/>
        </w:rPr>
        <w:t xml:space="preserve"> et </w:t>
      </w:r>
      <w:proofErr w:type="spellStart"/>
      <w:r w:rsidRPr="001D09CD">
        <w:rPr>
          <w:rFonts w:ascii="Times New Roman" w:hAnsi="Times New Roman" w:cs="Times New Roman"/>
          <w:i/>
          <w:iCs/>
          <w:lang w:val="en-US"/>
        </w:rPr>
        <w:t>principes</w:t>
      </w:r>
      <w:proofErr w:type="spellEnd"/>
      <w:r w:rsidRPr="001D09C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D09CD">
        <w:rPr>
          <w:rFonts w:ascii="Times New Roman" w:hAnsi="Times New Roman" w:cs="Times New Roman"/>
          <w:i/>
          <w:iCs/>
          <w:lang w:val="en-US"/>
        </w:rPr>
        <w:t>directeurs</w:t>
      </w:r>
      <w:proofErr w:type="spellEnd"/>
      <w:r w:rsidRPr="001D09CD">
        <w:rPr>
          <w:rFonts w:ascii="Times New Roman" w:hAnsi="Times New Roman" w:cs="Times New Roman"/>
          <w:i/>
          <w:iCs/>
          <w:lang w:val="en-US"/>
        </w:rPr>
        <w:t xml:space="preserve"> de la COI </w:t>
      </w:r>
      <w:proofErr w:type="spellStart"/>
      <w:r w:rsidRPr="001D09CD">
        <w:rPr>
          <w:rFonts w:ascii="Times New Roman" w:hAnsi="Times New Roman" w:cs="Times New Roman"/>
          <w:i/>
          <w:iCs/>
          <w:lang w:val="en-US"/>
        </w:rPr>
        <w:t>concernant</w:t>
      </w:r>
      <w:proofErr w:type="spellEnd"/>
      <w:r w:rsidRPr="001D09CD">
        <w:rPr>
          <w:rFonts w:ascii="Times New Roman" w:hAnsi="Times New Roman" w:cs="Times New Roman"/>
          <w:i/>
          <w:iCs/>
          <w:lang w:val="en-US"/>
        </w:rPr>
        <w:t xml:space="preserve"> le </w:t>
      </w:r>
      <w:proofErr w:type="spellStart"/>
      <w:r w:rsidRPr="001D09CD">
        <w:rPr>
          <w:rFonts w:ascii="Times New Roman" w:hAnsi="Times New Roman" w:cs="Times New Roman"/>
          <w:i/>
          <w:iCs/>
          <w:lang w:val="en-US"/>
        </w:rPr>
        <w:t>Transfert</w:t>
      </w:r>
      <w:proofErr w:type="spellEnd"/>
      <w:r w:rsidRPr="001D09CD">
        <w:rPr>
          <w:rFonts w:ascii="Times New Roman" w:hAnsi="Times New Roman" w:cs="Times New Roman"/>
          <w:i/>
          <w:iCs/>
          <w:lang w:val="en-US"/>
        </w:rPr>
        <w:t xml:space="preserve"> de Techniques Marines (CPTTM)</w:t>
      </w:r>
      <w:r w:rsidRPr="001D09C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D09CD">
        <w:rPr>
          <w:rFonts w:ascii="Times New Roman" w:hAnsi="Times New Roman" w:cs="Times New Roman"/>
        </w:rPr>
        <w:t>Paris</w:t>
      </w:r>
      <w:proofErr w:type="spellEnd"/>
      <w:r w:rsidRPr="001D09CD">
        <w:rPr>
          <w:rFonts w:ascii="Times New Roman" w:hAnsi="Times New Roman" w:cs="Times New Roman"/>
        </w:rPr>
        <w:t xml:space="preserve">, UNESCO, 2005. 68pp. (IOC </w:t>
      </w:r>
      <w:proofErr w:type="spellStart"/>
      <w:r w:rsidRPr="001D09CD">
        <w:rPr>
          <w:rFonts w:ascii="Times New Roman" w:hAnsi="Times New Roman" w:cs="Times New Roman"/>
        </w:rPr>
        <w:t>Information</w:t>
      </w:r>
      <w:proofErr w:type="spellEnd"/>
      <w:r w:rsidRPr="001D09CD">
        <w:rPr>
          <w:rFonts w:ascii="Times New Roman" w:hAnsi="Times New Roman" w:cs="Times New Roman"/>
        </w:rPr>
        <w:t xml:space="preserve"> </w:t>
      </w:r>
      <w:proofErr w:type="spellStart"/>
      <w:r w:rsidRPr="001D09CD">
        <w:rPr>
          <w:rFonts w:ascii="Times New Roman" w:hAnsi="Times New Roman" w:cs="Times New Roman"/>
        </w:rPr>
        <w:t>document</w:t>
      </w:r>
      <w:proofErr w:type="spellEnd"/>
      <w:r w:rsidRPr="001D09CD">
        <w:rPr>
          <w:rFonts w:ascii="Times New Roman" w:hAnsi="Times New Roman" w:cs="Times New Roman"/>
        </w:rPr>
        <w:t>, 1203)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F42C0" w14:textId="0A005FE6" w:rsidR="00FC0AB1" w:rsidRPr="00FC0AB1" w:rsidRDefault="00FC0AB1" w:rsidP="00FC0AB1">
    <w:pPr>
      <w:pStyle w:val="aa"/>
      <w:jc w:val="right"/>
      <w:rPr>
        <w:rFonts w:ascii="Times New Roman" w:hAnsi="Times New Roman" w:cs="Times New Roman"/>
        <w:i/>
        <w:sz w:val="24"/>
        <w:szCs w:val="24"/>
      </w:rPr>
    </w:pPr>
    <w:r w:rsidRPr="00FC0AB1">
      <w:rPr>
        <w:rFonts w:ascii="Times New Roman" w:hAnsi="Times New Roman" w:cs="Times New Roman"/>
        <w:i/>
        <w:sz w:val="24"/>
        <w:szCs w:val="24"/>
      </w:rPr>
      <w:t>Неофициальный перевод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1D291"/>
    <w:multiLevelType w:val="hybridMultilevel"/>
    <w:tmpl w:val="F6D0CB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B4F9E8"/>
    <w:multiLevelType w:val="hybridMultilevel"/>
    <w:tmpl w:val="F51A1A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7E8726"/>
    <w:multiLevelType w:val="hybridMultilevel"/>
    <w:tmpl w:val="CCB0B8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92600A"/>
    <w:multiLevelType w:val="hybridMultilevel"/>
    <w:tmpl w:val="1EF85AAE"/>
    <w:lvl w:ilvl="0" w:tplc="8B6AE502">
      <w:start w:val="1"/>
      <w:numFmt w:val="upperRoman"/>
      <w:lvlText w:val="(%1)"/>
      <w:lvlJc w:val="left"/>
      <w:pPr>
        <w:ind w:left="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06FD3CAC"/>
    <w:multiLevelType w:val="hybridMultilevel"/>
    <w:tmpl w:val="8E34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01F57"/>
    <w:multiLevelType w:val="hybridMultilevel"/>
    <w:tmpl w:val="2126233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DAD3B1C"/>
    <w:multiLevelType w:val="hybridMultilevel"/>
    <w:tmpl w:val="D690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2729D"/>
    <w:multiLevelType w:val="hybridMultilevel"/>
    <w:tmpl w:val="7A78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D3EF2"/>
    <w:multiLevelType w:val="hybridMultilevel"/>
    <w:tmpl w:val="21AAC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E1492"/>
    <w:multiLevelType w:val="hybridMultilevel"/>
    <w:tmpl w:val="B4FE252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55E14FFC"/>
    <w:multiLevelType w:val="hybridMultilevel"/>
    <w:tmpl w:val="77464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93A50"/>
    <w:multiLevelType w:val="hybridMultilevel"/>
    <w:tmpl w:val="9262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17DF7"/>
    <w:multiLevelType w:val="hybridMultilevel"/>
    <w:tmpl w:val="A19A099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98"/>
    <w:rsid w:val="001C26E3"/>
    <w:rsid w:val="001D09CD"/>
    <w:rsid w:val="00203DD8"/>
    <w:rsid w:val="002518AE"/>
    <w:rsid w:val="00434A2A"/>
    <w:rsid w:val="005706BD"/>
    <w:rsid w:val="005E6E33"/>
    <w:rsid w:val="007D4B37"/>
    <w:rsid w:val="008520EC"/>
    <w:rsid w:val="008E5E98"/>
    <w:rsid w:val="009C01BC"/>
    <w:rsid w:val="00A414D0"/>
    <w:rsid w:val="00A812A4"/>
    <w:rsid w:val="00AB35FD"/>
    <w:rsid w:val="00C24F66"/>
    <w:rsid w:val="00C30DAA"/>
    <w:rsid w:val="00D03E04"/>
    <w:rsid w:val="00D66272"/>
    <w:rsid w:val="00DF2F1B"/>
    <w:rsid w:val="00E727E9"/>
    <w:rsid w:val="00E82356"/>
    <w:rsid w:val="00F11764"/>
    <w:rsid w:val="00F21E5A"/>
    <w:rsid w:val="00F315E9"/>
    <w:rsid w:val="00FC0AB1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03E04"/>
  </w:style>
  <w:style w:type="paragraph" w:styleId="a3">
    <w:name w:val="footnote text"/>
    <w:basedOn w:val="a"/>
    <w:link w:val="a4"/>
    <w:uiPriority w:val="99"/>
    <w:semiHidden/>
    <w:unhideWhenUsed/>
    <w:rsid w:val="008520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20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20EC"/>
    <w:rPr>
      <w:vertAlign w:val="superscript"/>
    </w:rPr>
  </w:style>
  <w:style w:type="paragraph" w:customStyle="1" w:styleId="Default">
    <w:name w:val="Default"/>
    <w:rsid w:val="00852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F2F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F1B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DF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baf-cell">
    <w:name w:val="gt-baf-cell"/>
    <w:basedOn w:val="a0"/>
    <w:rsid w:val="00434A2A"/>
  </w:style>
  <w:style w:type="paragraph" w:styleId="a8">
    <w:name w:val="Balloon Text"/>
    <w:basedOn w:val="a"/>
    <w:link w:val="a9"/>
    <w:uiPriority w:val="99"/>
    <w:semiHidden/>
    <w:unhideWhenUsed/>
    <w:rsid w:val="00F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AB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C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0AB1"/>
  </w:style>
  <w:style w:type="paragraph" w:styleId="ac">
    <w:name w:val="footer"/>
    <w:basedOn w:val="a"/>
    <w:link w:val="ad"/>
    <w:uiPriority w:val="99"/>
    <w:unhideWhenUsed/>
    <w:rsid w:val="00FC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0AB1"/>
  </w:style>
  <w:style w:type="character" w:styleId="ae">
    <w:name w:val="FollowedHyperlink"/>
    <w:basedOn w:val="a0"/>
    <w:uiPriority w:val="99"/>
    <w:semiHidden/>
    <w:unhideWhenUsed/>
    <w:rsid w:val="005E6E33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C30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03E04"/>
  </w:style>
  <w:style w:type="paragraph" w:styleId="a3">
    <w:name w:val="footnote text"/>
    <w:basedOn w:val="a"/>
    <w:link w:val="a4"/>
    <w:uiPriority w:val="99"/>
    <w:semiHidden/>
    <w:unhideWhenUsed/>
    <w:rsid w:val="008520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20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20EC"/>
    <w:rPr>
      <w:vertAlign w:val="superscript"/>
    </w:rPr>
  </w:style>
  <w:style w:type="paragraph" w:customStyle="1" w:styleId="Default">
    <w:name w:val="Default"/>
    <w:rsid w:val="00852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F2F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F1B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DF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baf-cell">
    <w:name w:val="gt-baf-cell"/>
    <w:basedOn w:val="a0"/>
    <w:rsid w:val="00434A2A"/>
  </w:style>
  <w:style w:type="paragraph" w:styleId="a8">
    <w:name w:val="Balloon Text"/>
    <w:basedOn w:val="a"/>
    <w:link w:val="a9"/>
    <w:uiPriority w:val="99"/>
    <w:semiHidden/>
    <w:unhideWhenUsed/>
    <w:rsid w:val="00F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AB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C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0AB1"/>
  </w:style>
  <w:style w:type="paragraph" w:styleId="ac">
    <w:name w:val="footer"/>
    <w:basedOn w:val="a"/>
    <w:link w:val="ad"/>
    <w:uiPriority w:val="99"/>
    <w:unhideWhenUsed/>
    <w:rsid w:val="00FC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0AB1"/>
  </w:style>
  <w:style w:type="character" w:styleId="ae">
    <w:name w:val="FollowedHyperlink"/>
    <w:basedOn w:val="a0"/>
    <w:uiPriority w:val="99"/>
    <w:semiHidden/>
    <w:unhideWhenUsed/>
    <w:rsid w:val="005E6E33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C3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occp.org/images/D4standards/Dickson-2007/sop06a.pdf" TargetMode="External"/><Relationship Id="rId18" Type="http://schemas.openxmlformats.org/officeDocument/2006/relationships/hyperlink" Target="http://www.ioccp.org/images/D4standards/Dickson-2007/sop03a.pdf" TargetMode="External"/><Relationship Id="rId26" Type="http://schemas.openxmlformats.org/officeDocument/2006/relationships/hyperlink" Target="https://public.wmo.int/en/programmes/global-climate-observing-system" TargetMode="External"/><Relationship Id="rId21" Type="http://schemas.openxmlformats.org/officeDocument/2006/relationships/hyperlink" Target="https://www.earth-syst-sci-data.net/6/353/2014/essd-6-353-2014.html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ioccp.org/images/D4standards/Dickson-2007/sop06b.pdf" TargetMode="External"/><Relationship Id="rId17" Type="http://schemas.openxmlformats.org/officeDocument/2006/relationships/hyperlink" Target="http://www.ioccp.org/index.php/documents/standards-and-methods/2-uncategorised/263-guide-to-best-practices-for-ocean-co2-measurements" TargetMode="External"/><Relationship Id="rId25" Type="http://schemas.openxmlformats.org/officeDocument/2006/relationships/hyperlink" Target="https://www.socat.info/" TargetMode="External"/><Relationship Id="rId33" Type="http://schemas.openxmlformats.org/officeDocument/2006/relationships/hyperlink" Target="http://www.ioc-unesco.org/index.php?option=com_oe&amp;task=viewDocumentRecord&amp;docID=195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occp.org/images/D4standards/Dickson-2007/sop02.pdf" TargetMode="External"/><Relationship Id="rId20" Type="http://schemas.openxmlformats.org/officeDocument/2006/relationships/hyperlink" Target="https://www.sciencedirect.com/science/article/pii/S0967064508004268" TargetMode="External"/><Relationship Id="rId29" Type="http://schemas.openxmlformats.org/officeDocument/2006/relationships/hyperlink" Target="https://www.iode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occp.org/index.php/instruments-and-sensors" TargetMode="External"/><Relationship Id="rId24" Type="http://schemas.openxmlformats.org/officeDocument/2006/relationships/hyperlink" Target="http://www.go-ship.org/" TargetMode="External"/><Relationship Id="rId32" Type="http://schemas.openxmlformats.org/officeDocument/2006/relationships/hyperlink" Target="http://ioc-unesco.org/index.php?option=com_oe&amp;task=viewDocumentRecord&amp;docID=21938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ciencedirect.com/science/article/pii/S2211122014000413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ioc-unesco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occp.org/index.php/instruments-and-sensors" TargetMode="External"/><Relationship Id="rId19" Type="http://schemas.openxmlformats.org/officeDocument/2006/relationships/hyperlink" Target="http://www.ioccp.org/images/D4standards/Dickson-2007/sop03b.pdf" TargetMode="External"/><Relationship Id="rId31" Type="http://schemas.openxmlformats.org/officeDocument/2006/relationships/hyperlink" Target="http://portal.goa-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occp.org/index.php/documents/standards-and-methods" TargetMode="External"/><Relationship Id="rId14" Type="http://schemas.openxmlformats.org/officeDocument/2006/relationships/hyperlink" Target="https://www.sciencedirect.com/science/article/pii/S2211122014000413" TargetMode="External"/><Relationship Id="rId22" Type="http://schemas.openxmlformats.org/officeDocument/2006/relationships/hyperlink" Target="http://www.ioc-unesco.org/index.php?option=com_oe&amp;task=viewDocumentRecord&amp;docID=19589" TargetMode="External"/><Relationship Id="rId27" Type="http://schemas.openxmlformats.org/officeDocument/2006/relationships/hyperlink" Target="http://portal.goa-on.org/" TargetMode="External"/><Relationship Id="rId30" Type="http://schemas.openxmlformats.org/officeDocument/2006/relationships/hyperlink" Target="http://goa-on.org/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E23B4-7D35-4F4B-8274-42D9FE09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12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Агзамова Вероника Радиковна</cp:lastModifiedBy>
  <cp:revision>8</cp:revision>
  <cp:lastPrinted>2019-03-05T14:01:00Z</cp:lastPrinted>
  <dcterms:created xsi:type="dcterms:W3CDTF">2019-03-04T06:46:00Z</dcterms:created>
  <dcterms:modified xsi:type="dcterms:W3CDTF">2019-04-16T13:00:00Z</dcterms:modified>
</cp:coreProperties>
</file>