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C5" w:rsidRPr="00852214" w:rsidRDefault="005F05C5" w:rsidP="00DA017F">
      <w:pPr>
        <w:spacing w:before="100" w:beforeAutospacing="1" w:after="100" w:afterAutospacing="1" w:line="276" w:lineRule="auto"/>
        <w:rPr>
          <w:rFonts w:ascii="Times New Roman" w:eastAsia="Times New Roman" w:hAnsi="Times New Roman" w:cs="Times New Roman"/>
          <w:b/>
          <w:sz w:val="24"/>
          <w:szCs w:val="24"/>
          <w:lang w:eastAsia="ru-RU"/>
        </w:rPr>
      </w:pPr>
      <w:r w:rsidRPr="00852214">
        <w:rPr>
          <w:rFonts w:ascii="Times New Roman" w:hAnsi="Times New Roman" w:cs="Times New Roman"/>
          <w:b/>
          <w:sz w:val="24"/>
          <w:szCs w:val="24"/>
        </w:rPr>
        <w:t xml:space="preserve">Цель 8: </w:t>
      </w:r>
      <w:r w:rsidRPr="00852214">
        <w:rPr>
          <w:rFonts w:ascii="Times New Roman" w:eastAsia="Times New Roman" w:hAnsi="Times New Roman" w:cs="Times New Roman"/>
          <w:b/>
          <w:sz w:val="24"/>
          <w:szCs w:val="24"/>
          <w:lang w:eastAsia="ru-RU"/>
        </w:rPr>
        <w:t>Содействие поступательному, всеохватному и устойчивому экономическому росту, полной и производительной занятости и достойной работе для всех</w:t>
      </w:r>
    </w:p>
    <w:p w:rsidR="005F05C5" w:rsidRPr="00852214" w:rsidRDefault="00852214" w:rsidP="00DA017F">
      <w:pPr>
        <w:spacing w:before="100" w:beforeAutospacing="1" w:after="100" w:afterAutospacing="1" w:line="276" w:lineRule="auto"/>
        <w:rPr>
          <w:rFonts w:ascii="Times New Roman" w:eastAsia="Times New Roman" w:hAnsi="Times New Roman" w:cs="Times New Roman"/>
          <w:b/>
          <w:sz w:val="24"/>
          <w:szCs w:val="24"/>
          <w:lang w:eastAsia="ru-RU"/>
        </w:rPr>
      </w:pPr>
      <w:r w:rsidRPr="00852214">
        <w:rPr>
          <w:rFonts w:ascii="Times New Roman" w:hAnsi="Times New Roman" w:cs="Times New Roman"/>
          <w:b/>
          <w:sz w:val="24"/>
          <w:szCs w:val="24"/>
        </w:rPr>
        <w:t xml:space="preserve">Задача </w:t>
      </w:r>
      <w:r w:rsidR="005F05C5" w:rsidRPr="00852214">
        <w:rPr>
          <w:rFonts w:ascii="Times New Roman" w:hAnsi="Times New Roman" w:cs="Times New Roman"/>
          <w:b/>
          <w:sz w:val="24"/>
          <w:szCs w:val="24"/>
        </w:rPr>
        <w:t>8.8</w:t>
      </w:r>
      <w:r w:rsidRPr="00852214">
        <w:rPr>
          <w:rFonts w:ascii="Times New Roman" w:hAnsi="Times New Roman" w:cs="Times New Roman"/>
          <w:b/>
          <w:sz w:val="24"/>
          <w:szCs w:val="24"/>
        </w:rPr>
        <w:t>:</w:t>
      </w:r>
      <w:r w:rsidR="005F05C5" w:rsidRPr="00852214">
        <w:rPr>
          <w:rFonts w:ascii="Times New Roman" w:hAnsi="Times New Roman" w:cs="Times New Roman"/>
          <w:b/>
          <w:sz w:val="24"/>
          <w:szCs w:val="24"/>
        </w:rPr>
        <w:t xml:space="preserve"> </w:t>
      </w:r>
      <w:r w:rsidR="005F05C5" w:rsidRPr="00852214">
        <w:rPr>
          <w:rFonts w:ascii="Times New Roman" w:eastAsia="Times New Roman" w:hAnsi="Times New Roman" w:cs="Times New Roman"/>
          <w:b/>
          <w:sz w:val="24"/>
          <w:szCs w:val="24"/>
          <w:lang w:eastAsia="ru-RU"/>
        </w:rPr>
        <w:t>Защищать трудовые права и содействовать обеспечению надежных и безопасных условий работы для всех трудящихся, включая трудящихся-мигрантов, особенно женщин-мигрантов, и лиц, не имеющих стабильной занятости</w:t>
      </w:r>
    </w:p>
    <w:p w:rsidR="005F05C5" w:rsidRPr="00DA017F" w:rsidRDefault="00852214" w:rsidP="00DA017F">
      <w:pPr>
        <w:spacing w:before="100" w:beforeAutospacing="1" w:after="100" w:afterAutospacing="1" w:line="276" w:lineRule="auto"/>
        <w:rPr>
          <w:rFonts w:ascii="Times New Roman" w:eastAsia="Times New Roman" w:hAnsi="Times New Roman" w:cs="Times New Roman"/>
          <w:b/>
          <w:color w:val="0070C0"/>
          <w:sz w:val="24"/>
          <w:szCs w:val="24"/>
          <w:lang w:eastAsia="ru-RU"/>
        </w:rPr>
      </w:pPr>
      <w:r w:rsidRPr="00852214">
        <w:rPr>
          <w:rFonts w:ascii="Times New Roman" w:eastAsia="Times New Roman" w:hAnsi="Times New Roman" w:cs="Times New Roman"/>
          <w:b/>
          <w:color w:val="0070C0"/>
          <w:sz w:val="24"/>
          <w:szCs w:val="24"/>
          <w:lang w:eastAsia="ru-RU"/>
        </w:rPr>
        <w:t xml:space="preserve">Показатель </w:t>
      </w:r>
      <w:r w:rsidR="005F05C5" w:rsidRPr="00852214">
        <w:rPr>
          <w:rFonts w:ascii="Times New Roman" w:eastAsia="Times New Roman" w:hAnsi="Times New Roman" w:cs="Times New Roman"/>
          <w:b/>
          <w:color w:val="0070C0"/>
          <w:sz w:val="24"/>
          <w:szCs w:val="24"/>
          <w:lang w:eastAsia="ru-RU"/>
        </w:rPr>
        <w:t>8.8.2</w:t>
      </w:r>
      <w:r w:rsidRPr="00852214">
        <w:rPr>
          <w:rFonts w:ascii="Times New Roman" w:eastAsia="Times New Roman" w:hAnsi="Times New Roman" w:cs="Times New Roman"/>
          <w:b/>
          <w:color w:val="0070C0"/>
          <w:sz w:val="24"/>
          <w:szCs w:val="24"/>
          <w:lang w:eastAsia="ru-RU"/>
        </w:rPr>
        <w:t>:</w:t>
      </w:r>
      <w:r w:rsidR="005F05C5" w:rsidRPr="00852214">
        <w:rPr>
          <w:rFonts w:ascii="Times New Roman" w:eastAsia="Times New Roman" w:hAnsi="Times New Roman" w:cs="Times New Roman"/>
          <w:b/>
          <w:color w:val="0070C0"/>
          <w:sz w:val="24"/>
          <w:szCs w:val="24"/>
          <w:lang w:eastAsia="ru-RU"/>
        </w:rPr>
        <w:t xml:space="preserve"> Ситуация с соблюдением трудовых прав на национальном уровне (свобода объединений и заключение коллективных трудовых договоров) на основе документальных источников Международной организации труда (МОТ) и национального законодательства в разбивке по полу и миграционному статусу</w:t>
      </w:r>
    </w:p>
    <w:p w:rsidR="00DA017F" w:rsidRDefault="00DA017F" w:rsidP="00DA017F">
      <w:pPr>
        <w:spacing w:before="100" w:beforeAutospacing="1" w:after="100" w:afterAutospacing="1" w:line="276" w:lineRule="auto"/>
        <w:jc w:val="both"/>
        <w:rPr>
          <w:rFonts w:ascii="Times New Roman" w:hAnsi="Times New Roman" w:cs="Times New Roman"/>
          <w:b/>
          <w:sz w:val="24"/>
          <w:szCs w:val="24"/>
        </w:rPr>
      </w:pPr>
    </w:p>
    <w:p w:rsidR="00DA017F" w:rsidRPr="00B27A0B" w:rsidRDefault="00DA017F" w:rsidP="00DA017F">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sidRPr="00A218FA">
        <w:rPr>
          <w:rFonts w:ascii="Times New Roman" w:hAnsi="Times New Roman" w:cs="Times New Roman"/>
          <w:b/>
          <w:color w:val="0070C0"/>
          <w:sz w:val="24"/>
          <w:szCs w:val="24"/>
        </w:rPr>
        <w:t>Институциональная информаци</w:t>
      </w:r>
      <w:r>
        <w:rPr>
          <w:rFonts w:ascii="Times New Roman" w:hAnsi="Times New Roman" w:cs="Times New Roman"/>
          <w:b/>
          <w:color w:val="0070C0"/>
          <w:sz w:val="24"/>
          <w:szCs w:val="24"/>
        </w:rPr>
        <w:t>я</w:t>
      </w:r>
    </w:p>
    <w:p w:rsidR="00DA017F" w:rsidRPr="00B27A0B" w:rsidRDefault="00DA017F" w:rsidP="00DA017F">
      <w:pPr>
        <w:spacing w:before="100" w:beforeAutospacing="1" w:after="100" w:afterAutospacing="1"/>
        <w:jc w:val="both"/>
        <w:rPr>
          <w:rFonts w:ascii="Times New Roman" w:hAnsi="Times New Roman" w:cs="Times New Roman"/>
          <w:b/>
          <w:color w:val="0070C0"/>
          <w:sz w:val="24"/>
          <w:szCs w:val="24"/>
        </w:rPr>
      </w:pPr>
    </w:p>
    <w:p w:rsidR="005F05C5" w:rsidRPr="00852214" w:rsidRDefault="005F05C5" w:rsidP="00852214">
      <w:pPr>
        <w:spacing w:before="100" w:beforeAutospacing="1" w:after="100" w:afterAutospacing="1" w:line="276" w:lineRule="auto"/>
        <w:jc w:val="both"/>
        <w:rPr>
          <w:rFonts w:ascii="Times New Roman" w:eastAsia="Times New Roman" w:hAnsi="Times New Roman" w:cs="Times New Roman"/>
          <w:b/>
          <w:sz w:val="24"/>
          <w:szCs w:val="24"/>
          <w:lang w:eastAsia="ru-RU"/>
        </w:rPr>
      </w:pPr>
      <w:r w:rsidRPr="00852214">
        <w:rPr>
          <w:rFonts w:ascii="Times New Roman" w:eastAsia="Times New Roman" w:hAnsi="Times New Roman" w:cs="Times New Roman"/>
          <w:b/>
          <w:sz w:val="24"/>
          <w:szCs w:val="24"/>
          <w:lang w:eastAsia="ru-RU"/>
        </w:rPr>
        <w:t>Организация</w:t>
      </w:r>
      <w:r w:rsidR="00852214" w:rsidRPr="00852214">
        <w:rPr>
          <w:rFonts w:ascii="Times New Roman" w:eastAsia="Times New Roman" w:hAnsi="Times New Roman" w:cs="Times New Roman"/>
          <w:b/>
          <w:sz w:val="24"/>
          <w:szCs w:val="24"/>
          <w:lang w:eastAsia="ru-RU"/>
        </w:rPr>
        <w:t>:</w:t>
      </w:r>
    </w:p>
    <w:p w:rsidR="005F05C5" w:rsidRPr="00852214" w:rsidRDefault="005F05C5"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Международная организация труда (МОТ)</w:t>
      </w:r>
    </w:p>
    <w:p w:rsidR="00DA017F" w:rsidRDefault="00DA017F" w:rsidP="00DA017F">
      <w:pPr>
        <w:spacing w:before="100" w:beforeAutospacing="1" w:after="100" w:afterAutospacing="1" w:line="276" w:lineRule="auto"/>
        <w:jc w:val="both"/>
        <w:rPr>
          <w:rFonts w:ascii="Times New Roman" w:hAnsi="Times New Roman" w:cs="Times New Roman"/>
          <w:b/>
          <w:sz w:val="24"/>
          <w:szCs w:val="24"/>
        </w:rPr>
      </w:pPr>
    </w:p>
    <w:p w:rsidR="00DA017F" w:rsidRPr="00B27A0B" w:rsidRDefault="00DA017F" w:rsidP="00DA017F">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sidRPr="00C638C5">
        <w:rPr>
          <w:rFonts w:ascii="Times New Roman" w:hAnsi="Times New Roman" w:cs="Times New Roman"/>
          <w:b/>
          <w:color w:val="0070C0"/>
          <w:sz w:val="24"/>
          <w:szCs w:val="24"/>
        </w:rPr>
        <w:t xml:space="preserve">Концепции </w:t>
      </w:r>
      <w:r>
        <w:rPr>
          <w:rFonts w:ascii="Times New Roman" w:hAnsi="Times New Roman" w:cs="Times New Roman"/>
          <w:b/>
          <w:color w:val="0070C0"/>
          <w:sz w:val="24"/>
          <w:szCs w:val="24"/>
        </w:rPr>
        <w:t>и определения</w:t>
      </w:r>
      <w:r w:rsidRPr="00A218FA">
        <w:rPr>
          <w:rFonts w:ascii="Times New Roman" w:hAnsi="Times New Roman" w:cs="Times New Roman"/>
          <w:b/>
          <w:color w:val="0070C0"/>
          <w:sz w:val="24"/>
          <w:szCs w:val="24"/>
        </w:rPr>
        <w:t xml:space="preserve"> </w:t>
      </w:r>
    </w:p>
    <w:p w:rsidR="00DA017F" w:rsidRPr="00B27A0B" w:rsidRDefault="00DA017F" w:rsidP="00DA017F">
      <w:pPr>
        <w:spacing w:before="100" w:beforeAutospacing="1" w:after="100" w:afterAutospacing="1"/>
        <w:jc w:val="both"/>
        <w:rPr>
          <w:rFonts w:ascii="Times New Roman" w:hAnsi="Times New Roman" w:cs="Times New Roman"/>
          <w:b/>
          <w:sz w:val="24"/>
          <w:szCs w:val="24"/>
        </w:rPr>
      </w:pPr>
    </w:p>
    <w:p w:rsidR="005F05C5" w:rsidRDefault="005F05C5" w:rsidP="00852214">
      <w:pPr>
        <w:spacing w:before="100" w:beforeAutospacing="1" w:after="100" w:afterAutospacing="1" w:line="276" w:lineRule="auto"/>
        <w:jc w:val="both"/>
        <w:rPr>
          <w:rFonts w:ascii="Times New Roman" w:eastAsia="Times New Roman" w:hAnsi="Times New Roman" w:cs="Times New Roman"/>
          <w:b/>
          <w:sz w:val="24"/>
          <w:szCs w:val="24"/>
          <w:lang w:eastAsia="ru-RU"/>
        </w:rPr>
      </w:pPr>
      <w:r w:rsidRPr="00852214">
        <w:rPr>
          <w:rFonts w:ascii="Times New Roman" w:eastAsia="Times New Roman" w:hAnsi="Times New Roman" w:cs="Times New Roman"/>
          <w:b/>
          <w:sz w:val="24"/>
          <w:szCs w:val="24"/>
          <w:lang w:eastAsia="ru-RU"/>
        </w:rPr>
        <w:t>Определение</w:t>
      </w:r>
      <w:r w:rsidR="00852214">
        <w:rPr>
          <w:rFonts w:ascii="Times New Roman" w:eastAsia="Times New Roman" w:hAnsi="Times New Roman" w:cs="Times New Roman"/>
          <w:b/>
          <w:sz w:val="24"/>
          <w:szCs w:val="24"/>
          <w:lang w:eastAsia="ru-RU"/>
        </w:rPr>
        <w:t>:</w:t>
      </w:r>
    </w:p>
    <w:p w:rsidR="005F05C5" w:rsidRPr="00852214" w:rsidRDefault="005F05C5"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Этот показатель будет охватывать все государства-члены МОТ, стремящиеся измерять уровень соблюдения на национальном уровне основных прав (</w:t>
      </w:r>
      <w:r w:rsidR="00120885" w:rsidRPr="00852214">
        <w:rPr>
          <w:rFonts w:ascii="Times New Roman" w:eastAsia="Times New Roman" w:hAnsi="Times New Roman" w:cs="Times New Roman"/>
          <w:sz w:val="24"/>
          <w:szCs w:val="24"/>
          <w:lang w:eastAsia="ru-RU"/>
        </w:rPr>
        <w:t>свобода объединений и заключение коллективных трудовых договоров</w:t>
      </w:r>
      <w:r w:rsidRPr="00852214">
        <w:rPr>
          <w:rFonts w:ascii="Times New Roman" w:eastAsia="Times New Roman" w:hAnsi="Times New Roman" w:cs="Times New Roman"/>
          <w:sz w:val="24"/>
          <w:szCs w:val="24"/>
          <w:lang w:eastAsia="ru-RU"/>
        </w:rPr>
        <w:t xml:space="preserve">, </w:t>
      </w:r>
      <w:r w:rsidR="00120885" w:rsidRPr="00852214">
        <w:rPr>
          <w:rFonts w:ascii="Times New Roman" w:eastAsia="Times New Roman" w:hAnsi="Times New Roman" w:cs="Times New Roman"/>
          <w:sz w:val="24"/>
          <w:szCs w:val="24"/>
          <w:lang w:eastAsia="ru-RU"/>
        </w:rPr>
        <w:t>FACB</w:t>
      </w:r>
      <w:r w:rsidRPr="00852214">
        <w:rPr>
          <w:rFonts w:ascii="Times New Roman" w:eastAsia="Times New Roman" w:hAnsi="Times New Roman" w:cs="Times New Roman"/>
          <w:sz w:val="24"/>
          <w:szCs w:val="24"/>
          <w:lang w:eastAsia="ru-RU"/>
        </w:rPr>
        <w:t>) на основе шести текстовых источников международных надзорных органов МОТ, а также национального законодательства. Он основан на процессе кодирования, начиная с кодирования источников, имеющих отношение к году оценки, кодирования несоответствий, выявленных в собранных источниках, и путем преобразования кодирования в показатели.</w:t>
      </w:r>
    </w:p>
    <w:p w:rsidR="005F05C5" w:rsidRPr="00852214" w:rsidRDefault="005F05C5" w:rsidP="00852214">
      <w:pPr>
        <w:spacing w:before="100" w:beforeAutospacing="1" w:after="100" w:afterAutospacing="1" w:line="276" w:lineRule="auto"/>
        <w:jc w:val="both"/>
        <w:rPr>
          <w:rFonts w:ascii="Times New Roman" w:eastAsia="Times New Roman" w:hAnsi="Times New Roman" w:cs="Times New Roman"/>
          <w:b/>
          <w:sz w:val="24"/>
          <w:szCs w:val="24"/>
          <w:lang w:eastAsia="ru-RU"/>
        </w:rPr>
      </w:pPr>
      <w:r w:rsidRPr="00852214">
        <w:rPr>
          <w:rFonts w:ascii="Times New Roman" w:eastAsia="Times New Roman" w:hAnsi="Times New Roman" w:cs="Times New Roman"/>
          <w:b/>
          <w:sz w:val="24"/>
          <w:szCs w:val="24"/>
          <w:lang w:eastAsia="ru-RU"/>
        </w:rPr>
        <w:t>Обоснование</w:t>
      </w:r>
      <w:r w:rsidR="00852214">
        <w:rPr>
          <w:rFonts w:ascii="Times New Roman" w:eastAsia="Times New Roman" w:hAnsi="Times New Roman" w:cs="Times New Roman"/>
          <w:b/>
          <w:sz w:val="24"/>
          <w:szCs w:val="24"/>
          <w:lang w:eastAsia="ru-RU"/>
        </w:rPr>
        <w:t>:</w:t>
      </w:r>
    </w:p>
    <w:p w:rsidR="005F05C5" w:rsidRPr="00852214" w:rsidRDefault="00120885"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Показатель имеет диапазон от 0 до 10. Чем меньше значение, тем лучше тем лучше страна оценивает</w:t>
      </w:r>
      <w:r w:rsidRPr="00852214">
        <w:rPr>
          <w:rFonts w:ascii="Times New Roman" w:hAnsi="Times New Roman" w:cs="Times New Roman"/>
          <w:sz w:val="24"/>
          <w:szCs w:val="24"/>
        </w:rPr>
        <w:t xml:space="preserve"> </w:t>
      </w:r>
      <w:r w:rsidRPr="00852214">
        <w:rPr>
          <w:rFonts w:ascii="Times New Roman" w:eastAsia="Times New Roman" w:hAnsi="Times New Roman" w:cs="Times New Roman"/>
          <w:sz w:val="24"/>
          <w:szCs w:val="24"/>
          <w:lang w:eastAsia="ru-RU"/>
        </w:rPr>
        <w:t>соблюдение трудовых прав (FACB), чем выше, тем хуже.</w:t>
      </w:r>
      <w:r w:rsidR="005F05C5" w:rsidRPr="00852214">
        <w:rPr>
          <w:rFonts w:ascii="Times New Roman" w:eastAsia="Times New Roman" w:hAnsi="Times New Roman" w:cs="Times New Roman"/>
          <w:sz w:val="24"/>
          <w:szCs w:val="24"/>
          <w:lang w:eastAsia="ru-RU"/>
        </w:rPr>
        <w:t xml:space="preserve"> </w:t>
      </w:r>
      <w:proofErr w:type="gramStart"/>
      <w:r w:rsidRPr="00852214">
        <w:rPr>
          <w:rFonts w:ascii="Times New Roman" w:eastAsia="Times New Roman" w:hAnsi="Times New Roman" w:cs="Times New Roman"/>
          <w:sz w:val="24"/>
          <w:szCs w:val="24"/>
          <w:lang w:eastAsia="ru-RU"/>
        </w:rPr>
        <w:t xml:space="preserve">После присвоения кода 1 наблюдаемое несоответствие и 0 как отсутствие наблюдаемого несоответствия, происходит идентификация ряда критериев оценки, для которых наблюдается несоответствие (взвешенное и невзвешенное), с использованием метода </w:t>
      </w:r>
      <w:proofErr w:type="spellStart"/>
      <w:r w:rsidRPr="00852214">
        <w:rPr>
          <w:rFonts w:ascii="Times New Roman" w:eastAsia="Times New Roman" w:hAnsi="Times New Roman" w:cs="Times New Roman"/>
          <w:sz w:val="24"/>
          <w:szCs w:val="24"/>
          <w:lang w:eastAsia="ru-RU"/>
        </w:rPr>
        <w:t>Дельфи</w:t>
      </w:r>
      <w:proofErr w:type="spellEnd"/>
      <w:r w:rsidRPr="00852214">
        <w:rPr>
          <w:rFonts w:ascii="Times New Roman" w:eastAsia="Times New Roman" w:hAnsi="Times New Roman" w:cs="Times New Roman"/>
          <w:sz w:val="24"/>
          <w:szCs w:val="24"/>
          <w:lang w:eastAsia="ru-RU"/>
        </w:rPr>
        <w:t xml:space="preserve">, определяются веса, а затем осуществляется процесс нормализации, устанавливающий </w:t>
      </w:r>
      <w:r w:rsidRPr="00852214">
        <w:rPr>
          <w:rFonts w:ascii="Times New Roman" w:eastAsia="Times New Roman" w:hAnsi="Times New Roman" w:cs="Times New Roman"/>
          <w:sz w:val="24"/>
          <w:szCs w:val="24"/>
          <w:lang w:eastAsia="ru-RU"/>
        </w:rPr>
        <w:lastRenderedPageBreak/>
        <w:t>диапазон от 0 до 10, 10 назначается странам с всеобъемлющим запретом на свободу объединений и прав на ведение коллективных переговоров (FACB).</w:t>
      </w:r>
      <w:proofErr w:type="gramEnd"/>
    </w:p>
    <w:p w:rsidR="005F05C5" w:rsidRPr="00852214" w:rsidRDefault="005F05C5" w:rsidP="00852214">
      <w:pPr>
        <w:spacing w:before="100" w:beforeAutospacing="1" w:after="100" w:afterAutospacing="1" w:line="276" w:lineRule="auto"/>
        <w:jc w:val="both"/>
        <w:rPr>
          <w:rFonts w:ascii="Times New Roman" w:eastAsia="Times New Roman" w:hAnsi="Times New Roman" w:cs="Times New Roman"/>
          <w:b/>
          <w:sz w:val="24"/>
          <w:szCs w:val="24"/>
          <w:lang w:eastAsia="ru-RU"/>
        </w:rPr>
      </w:pPr>
      <w:r w:rsidRPr="00852214">
        <w:rPr>
          <w:rFonts w:ascii="Times New Roman" w:eastAsia="Times New Roman" w:hAnsi="Times New Roman" w:cs="Times New Roman"/>
          <w:b/>
          <w:sz w:val="24"/>
          <w:szCs w:val="24"/>
          <w:lang w:eastAsia="ru-RU"/>
        </w:rPr>
        <w:t>Основные понятия</w:t>
      </w:r>
      <w:r w:rsidR="00852214">
        <w:rPr>
          <w:rFonts w:ascii="Times New Roman" w:eastAsia="Times New Roman" w:hAnsi="Times New Roman" w:cs="Times New Roman"/>
          <w:b/>
          <w:sz w:val="24"/>
          <w:szCs w:val="24"/>
          <w:lang w:eastAsia="ru-RU"/>
        </w:rPr>
        <w:t>:</w:t>
      </w:r>
    </w:p>
    <w:p w:rsidR="005F05C5" w:rsidRPr="00852214" w:rsidRDefault="00120885" w:rsidP="00852214">
      <w:pPr>
        <w:spacing w:before="100" w:beforeAutospacing="1" w:after="100" w:afterAutospacing="1" w:line="276" w:lineRule="auto"/>
        <w:jc w:val="both"/>
        <w:rPr>
          <w:rFonts w:ascii="Times New Roman" w:eastAsia="Times New Roman" w:hAnsi="Times New Roman" w:cs="Times New Roman"/>
          <w:color w:val="0070C0"/>
          <w:sz w:val="24"/>
          <w:szCs w:val="24"/>
          <w:lang w:eastAsia="ru-RU"/>
        </w:rPr>
      </w:pPr>
      <w:r w:rsidRPr="00852214">
        <w:rPr>
          <w:rFonts w:ascii="Times New Roman" w:eastAsia="Times New Roman" w:hAnsi="Times New Roman" w:cs="Times New Roman"/>
          <w:color w:val="0070C0"/>
          <w:sz w:val="24"/>
          <w:szCs w:val="24"/>
          <w:lang w:eastAsia="ru-RU"/>
        </w:rPr>
        <w:t xml:space="preserve">Свобода объединений и заключение коллективных трудовых договоров </w:t>
      </w:r>
      <w:r w:rsidR="00B81D3D" w:rsidRPr="00852214">
        <w:rPr>
          <w:rFonts w:ascii="Times New Roman" w:eastAsia="Times New Roman" w:hAnsi="Times New Roman" w:cs="Times New Roman"/>
          <w:color w:val="0070C0"/>
          <w:sz w:val="24"/>
          <w:szCs w:val="24"/>
          <w:lang w:eastAsia="ru-RU"/>
        </w:rPr>
        <w:t xml:space="preserve">(FACB) </w:t>
      </w:r>
      <w:r w:rsidR="005F05C5" w:rsidRPr="00852214">
        <w:rPr>
          <w:rFonts w:ascii="Times New Roman" w:eastAsia="Times New Roman" w:hAnsi="Times New Roman" w:cs="Times New Roman"/>
          <w:color w:val="0070C0"/>
          <w:sz w:val="24"/>
          <w:szCs w:val="24"/>
          <w:lang w:eastAsia="ru-RU"/>
        </w:rPr>
        <w:t>и их надзор</w:t>
      </w:r>
    </w:p>
    <w:p w:rsidR="00101274" w:rsidRPr="00852214" w:rsidRDefault="005F05C5"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Принципы свободы </w:t>
      </w:r>
      <w:r w:rsidR="00C551A0" w:rsidRPr="00852214">
        <w:rPr>
          <w:rFonts w:ascii="Times New Roman" w:eastAsia="Times New Roman" w:hAnsi="Times New Roman" w:cs="Times New Roman"/>
          <w:sz w:val="24"/>
          <w:szCs w:val="24"/>
          <w:lang w:eastAsia="ru-RU"/>
        </w:rPr>
        <w:t xml:space="preserve">объединений и заключения коллективных трудовых договоров </w:t>
      </w:r>
      <w:r w:rsidRPr="00852214">
        <w:rPr>
          <w:rFonts w:ascii="Times New Roman" w:eastAsia="Times New Roman" w:hAnsi="Times New Roman" w:cs="Times New Roman"/>
          <w:sz w:val="24"/>
          <w:szCs w:val="24"/>
          <w:lang w:eastAsia="ru-RU"/>
        </w:rPr>
        <w:t xml:space="preserve">(FACB) </w:t>
      </w:r>
      <w:r w:rsidR="00C551A0" w:rsidRPr="00852214">
        <w:rPr>
          <w:rFonts w:ascii="Times New Roman" w:eastAsia="Times New Roman" w:hAnsi="Times New Roman" w:cs="Times New Roman"/>
          <w:sz w:val="24"/>
          <w:szCs w:val="24"/>
          <w:lang w:eastAsia="ru-RU"/>
        </w:rPr>
        <w:t xml:space="preserve">уже </w:t>
      </w:r>
      <w:r w:rsidRPr="00852214">
        <w:rPr>
          <w:rFonts w:ascii="Times New Roman" w:eastAsia="Times New Roman" w:hAnsi="Times New Roman" w:cs="Times New Roman"/>
          <w:sz w:val="24"/>
          <w:szCs w:val="24"/>
          <w:lang w:eastAsia="ru-RU"/>
        </w:rPr>
        <w:t xml:space="preserve">давно являются </w:t>
      </w:r>
      <w:r w:rsidR="00C551A0" w:rsidRPr="00852214">
        <w:rPr>
          <w:rFonts w:ascii="Times New Roman" w:eastAsia="Times New Roman" w:hAnsi="Times New Roman" w:cs="Times New Roman"/>
          <w:sz w:val="24"/>
          <w:szCs w:val="24"/>
          <w:lang w:eastAsia="ru-RU"/>
        </w:rPr>
        <w:t>ядром</w:t>
      </w:r>
      <w:r w:rsidRPr="00852214">
        <w:rPr>
          <w:rFonts w:ascii="Times New Roman" w:eastAsia="Times New Roman" w:hAnsi="Times New Roman" w:cs="Times New Roman"/>
          <w:sz w:val="24"/>
          <w:szCs w:val="24"/>
          <w:lang w:eastAsia="ru-RU"/>
        </w:rPr>
        <w:t xml:space="preserve"> нормативных основ МОТ. </w:t>
      </w:r>
      <w:proofErr w:type="gramStart"/>
      <w:r w:rsidRPr="00852214">
        <w:rPr>
          <w:rFonts w:ascii="Times New Roman" w:eastAsia="Times New Roman" w:hAnsi="Times New Roman" w:cs="Times New Roman"/>
          <w:sz w:val="24"/>
          <w:szCs w:val="24"/>
          <w:lang w:eastAsia="ru-RU"/>
        </w:rPr>
        <w:t>Эти основы были установлены в Уставе МОТ (1919 г.), Филадельфийской декларации МОТ (1944 г.) в двух основных конвенциях МОТ (а именно:</w:t>
      </w:r>
      <w:proofErr w:type="gramEnd"/>
      <w:r w:rsidRPr="00852214">
        <w:rPr>
          <w:rFonts w:ascii="Times New Roman" w:eastAsia="Times New Roman" w:hAnsi="Times New Roman" w:cs="Times New Roman"/>
          <w:sz w:val="24"/>
          <w:szCs w:val="24"/>
          <w:lang w:eastAsia="ru-RU"/>
        </w:rPr>
        <w:t xml:space="preserve"> </w:t>
      </w:r>
      <w:proofErr w:type="gramStart"/>
      <w:r w:rsidRPr="00852214">
        <w:rPr>
          <w:rFonts w:ascii="Times New Roman" w:eastAsia="Times New Roman" w:hAnsi="Times New Roman" w:cs="Times New Roman"/>
          <w:sz w:val="24"/>
          <w:szCs w:val="24"/>
          <w:lang w:eastAsia="ru-RU"/>
        </w:rPr>
        <w:t>Конвенции о свободе ассоциации и защите права на организацию 1948 г. (№ 87) и Конвенция 1949 года о праве на организацию и на ведение коллективных переговоров (№ 98)) и Декларация МОТ об основополагающих принципах и правах в сфере труда (1998 год).</w:t>
      </w:r>
      <w:proofErr w:type="gramEnd"/>
      <w:r w:rsidRPr="00852214">
        <w:rPr>
          <w:rFonts w:ascii="Times New Roman" w:eastAsia="Times New Roman" w:hAnsi="Times New Roman" w:cs="Times New Roman"/>
          <w:sz w:val="24"/>
          <w:szCs w:val="24"/>
          <w:lang w:eastAsia="ru-RU"/>
        </w:rPr>
        <w:t xml:space="preserve"> Это также права, провозглашенные во Всеобщей декларации прав человека (1948 год) и других международных и региональных документах по правам человека. С принятием Декларации МОТ 1998 года поощрение и осуществление этих основополагающих принципов и прав также стало конституционным обязательством всех государств-членов МОТ.</w:t>
      </w:r>
    </w:p>
    <w:p w:rsidR="005F05C5" w:rsidRPr="00852214" w:rsidRDefault="00F07DB2"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Права FACB рассматриваются как «обеспечивающие права», реализация которых необходима для продвижения и реализации других прав на работе. Они обеспечивают необходимую основу для социального диалога, эффективного управления рынком труда и реализации достойного труда. Они имеют жизненно </w:t>
      </w:r>
      <w:proofErr w:type="gramStart"/>
      <w:r w:rsidRPr="00852214">
        <w:rPr>
          <w:rFonts w:ascii="Times New Roman" w:eastAsia="Times New Roman" w:hAnsi="Times New Roman" w:cs="Times New Roman"/>
          <w:sz w:val="24"/>
          <w:szCs w:val="24"/>
          <w:lang w:eastAsia="ru-RU"/>
        </w:rPr>
        <w:t>важное значение</w:t>
      </w:r>
      <w:proofErr w:type="gramEnd"/>
      <w:r w:rsidRPr="00852214">
        <w:rPr>
          <w:rFonts w:ascii="Times New Roman" w:eastAsia="Times New Roman" w:hAnsi="Times New Roman" w:cs="Times New Roman"/>
          <w:sz w:val="24"/>
          <w:szCs w:val="24"/>
          <w:lang w:eastAsia="ru-RU"/>
        </w:rPr>
        <w:t xml:space="preserve"> для того, чтобы работодатели и работники могли ассоциировать и эффективно вести переговоры о трудовых отношениях, чтобы гарантировать, что как работодатели, так и рабочие имеют равный голос на переговорах и что результат является справедливым и </w:t>
      </w:r>
      <w:r w:rsidR="009D771F" w:rsidRPr="00852214">
        <w:rPr>
          <w:rFonts w:ascii="Times New Roman" w:eastAsia="Times New Roman" w:hAnsi="Times New Roman" w:cs="Times New Roman"/>
          <w:sz w:val="24"/>
          <w:szCs w:val="24"/>
          <w:lang w:eastAsia="ru-RU"/>
        </w:rPr>
        <w:t>равносильным</w:t>
      </w:r>
      <w:r w:rsidRPr="00852214">
        <w:rPr>
          <w:rFonts w:ascii="Times New Roman" w:eastAsia="Times New Roman" w:hAnsi="Times New Roman" w:cs="Times New Roman"/>
          <w:sz w:val="24"/>
          <w:szCs w:val="24"/>
          <w:lang w:eastAsia="ru-RU"/>
        </w:rPr>
        <w:t xml:space="preserve">. Таким образом, они играют решающую роль в разработке экономической и социальной политики, которая учитывает интересы и потребности всех субъектов экономики. Права FACB также </w:t>
      </w:r>
      <w:r w:rsidR="00C551A0" w:rsidRPr="00852214">
        <w:rPr>
          <w:rFonts w:ascii="Times New Roman" w:eastAsia="Times New Roman" w:hAnsi="Times New Roman" w:cs="Times New Roman"/>
          <w:sz w:val="24"/>
          <w:szCs w:val="24"/>
          <w:lang w:eastAsia="ru-RU"/>
        </w:rPr>
        <w:t>существен</w:t>
      </w:r>
      <w:r w:rsidRPr="00852214">
        <w:rPr>
          <w:rFonts w:ascii="Times New Roman" w:eastAsia="Times New Roman" w:hAnsi="Times New Roman" w:cs="Times New Roman"/>
          <w:sz w:val="24"/>
          <w:szCs w:val="24"/>
          <w:lang w:eastAsia="ru-RU"/>
        </w:rPr>
        <w:t>ны, поскольку они являются неотъемлемыми элементами демократии, а также процесса демократизации.</w:t>
      </w:r>
    </w:p>
    <w:p w:rsidR="00F07DB2" w:rsidRPr="00852214" w:rsidRDefault="00F07DB2"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Права FACB, наряду с другими международными трудовыми стандартами, подкрепляются уникальной надзорной системой МОТ. МОТ регулярно изучает применение стандартов в государствах-членах и выделяет области, в которых эти стандарты нарушаются и в которых они могут применяться более эффективно. Надзорная система МОТ включает два вида надзорных механизмов: регулярную систему надзора и специальные процедуры. Предшествующий этап предусматривает рассмотрение периодических докладов, представляемых государствами-членами о мерах, принятых для осуществления положений ратифицированных ими конвенций МОТ. Специальные процедуры, т. е. представления, жалобы и специальная процедура рассмотрения жалоб в отношении свободы ассоциации через Комитет по свободе ассоциации, позволяют рассматривать нарушения на основе представления представительства или жалобы.</w:t>
      </w:r>
    </w:p>
    <w:p w:rsidR="00F07DB2" w:rsidRPr="00852214" w:rsidRDefault="00F07DB2"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Стремясь устранить некоторые недостатки предыдущих методов, МОТ разработала альтернативную схему кодирования, которая обеспечивает основу для ее нового метода </w:t>
      </w:r>
      <w:r w:rsidRPr="00852214">
        <w:rPr>
          <w:rFonts w:ascii="Times New Roman" w:eastAsia="Times New Roman" w:hAnsi="Times New Roman" w:cs="Times New Roman"/>
          <w:sz w:val="24"/>
          <w:szCs w:val="24"/>
          <w:lang w:eastAsia="ru-RU"/>
        </w:rPr>
        <w:lastRenderedPageBreak/>
        <w:t>построения показателей в области трудовых прав (</w:t>
      </w:r>
      <w:proofErr w:type="spellStart"/>
      <w:r w:rsidRPr="00852214">
        <w:rPr>
          <w:rFonts w:ascii="Times New Roman" w:eastAsia="Times New Roman" w:hAnsi="Times New Roman" w:cs="Times New Roman"/>
          <w:sz w:val="24"/>
          <w:szCs w:val="24"/>
          <w:lang w:eastAsia="ru-RU"/>
        </w:rPr>
        <w:t>Sari</w:t>
      </w:r>
      <w:proofErr w:type="spellEnd"/>
      <w:r w:rsidRPr="00852214">
        <w:rPr>
          <w:rFonts w:ascii="Times New Roman" w:eastAsia="Times New Roman" w:hAnsi="Times New Roman" w:cs="Times New Roman"/>
          <w:sz w:val="24"/>
          <w:szCs w:val="24"/>
          <w:lang w:eastAsia="ru-RU"/>
        </w:rPr>
        <w:t xml:space="preserve"> </w:t>
      </w:r>
      <w:proofErr w:type="spellStart"/>
      <w:r w:rsidRPr="00852214">
        <w:rPr>
          <w:rFonts w:ascii="Times New Roman" w:eastAsia="Times New Roman" w:hAnsi="Times New Roman" w:cs="Times New Roman"/>
          <w:sz w:val="24"/>
          <w:szCs w:val="24"/>
          <w:lang w:eastAsia="ru-RU"/>
        </w:rPr>
        <w:t>and</w:t>
      </w:r>
      <w:proofErr w:type="spellEnd"/>
      <w:r w:rsidRPr="00852214">
        <w:rPr>
          <w:rFonts w:ascii="Times New Roman" w:eastAsia="Times New Roman" w:hAnsi="Times New Roman" w:cs="Times New Roman"/>
          <w:sz w:val="24"/>
          <w:szCs w:val="24"/>
          <w:lang w:eastAsia="ru-RU"/>
        </w:rPr>
        <w:t xml:space="preserve"> </w:t>
      </w:r>
      <w:proofErr w:type="spellStart"/>
      <w:r w:rsidRPr="00852214">
        <w:rPr>
          <w:rFonts w:ascii="Times New Roman" w:eastAsia="Times New Roman" w:hAnsi="Times New Roman" w:cs="Times New Roman"/>
          <w:sz w:val="24"/>
          <w:szCs w:val="24"/>
          <w:lang w:eastAsia="ru-RU"/>
        </w:rPr>
        <w:t>Kucera</w:t>
      </w:r>
      <w:proofErr w:type="spellEnd"/>
      <w:r w:rsidRPr="00852214">
        <w:rPr>
          <w:rFonts w:ascii="Times New Roman" w:eastAsia="Times New Roman" w:hAnsi="Times New Roman" w:cs="Times New Roman"/>
          <w:sz w:val="24"/>
          <w:szCs w:val="24"/>
          <w:lang w:eastAsia="ru-RU"/>
        </w:rPr>
        <w:t xml:space="preserve">, 2011). Среди наиболее важных улучшений по сравнению с предыдущим методом </w:t>
      </w:r>
      <w:proofErr w:type="gramStart"/>
      <w:r w:rsidRPr="00852214">
        <w:rPr>
          <w:rFonts w:ascii="Times New Roman" w:eastAsia="Times New Roman" w:hAnsi="Times New Roman" w:cs="Times New Roman"/>
          <w:sz w:val="24"/>
          <w:szCs w:val="24"/>
          <w:lang w:eastAsia="ru-RU"/>
        </w:rPr>
        <w:t>следующие</w:t>
      </w:r>
      <w:proofErr w:type="gramEnd"/>
      <w:r w:rsidRPr="00852214">
        <w:rPr>
          <w:rFonts w:ascii="Times New Roman" w:eastAsia="Times New Roman" w:hAnsi="Times New Roman" w:cs="Times New Roman"/>
          <w:sz w:val="24"/>
          <w:szCs w:val="24"/>
          <w:lang w:eastAsia="ru-RU"/>
        </w:rPr>
        <w:t>:</w:t>
      </w:r>
    </w:p>
    <w:p w:rsidR="00F07DB2" w:rsidRPr="00852214" w:rsidRDefault="00F07DB2" w:rsidP="00852214">
      <w:pPr>
        <w:pStyle w:val="a3"/>
        <w:numPr>
          <w:ilvl w:val="0"/>
          <w:numId w:val="15"/>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Кодирование семи, а не только трех текстовых источников и, таким образом, полное использование текстовых источников, доступных через систему надзора МОТ, а также кодирование национального законодательства.</w:t>
      </w:r>
    </w:p>
    <w:p w:rsidR="00F07DB2" w:rsidRPr="00852214" w:rsidRDefault="00F07DB2" w:rsidP="00852214">
      <w:pPr>
        <w:pStyle w:val="a3"/>
        <w:numPr>
          <w:ilvl w:val="0"/>
          <w:numId w:val="15"/>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Четкие критерии оценки нарушений прав FACB в законодательстве (</w:t>
      </w:r>
      <w:r w:rsidR="00AA7833" w:rsidRPr="00852214">
        <w:rPr>
          <w:rFonts w:ascii="Times New Roman" w:eastAsia="Times New Roman" w:hAnsi="Times New Roman" w:cs="Times New Roman"/>
          <w:sz w:val="24"/>
          <w:szCs w:val="24"/>
          <w:lang w:eastAsia="ru-RU"/>
        </w:rPr>
        <w:t>де-юре</w:t>
      </w:r>
      <w:r w:rsidRPr="00852214">
        <w:rPr>
          <w:rFonts w:ascii="Times New Roman" w:eastAsia="Times New Roman" w:hAnsi="Times New Roman" w:cs="Times New Roman"/>
          <w:sz w:val="24"/>
          <w:szCs w:val="24"/>
          <w:lang w:eastAsia="ru-RU"/>
        </w:rPr>
        <w:t>) и на практике (де-факто).</w:t>
      </w:r>
    </w:p>
    <w:p w:rsidR="00F07DB2" w:rsidRPr="00852214" w:rsidRDefault="00F07DB2" w:rsidP="00852214">
      <w:pPr>
        <w:pStyle w:val="a3"/>
        <w:numPr>
          <w:ilvl w:val="0"/>
          <w:numId w:val="15"/>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Больше внимания уделять нарушениям прав FACB в отношении надлежащего процесса.</w:t>
      </w:r>
    </w:p>
    <w:p w:rsidR="00F07DB2" w:rsidRPr="00852214" w:rsidRDefault="00F07DB2" w:rsidP="00852214">
      <w:pPr>
        <w:pStyle w:val="a3"/>
        <w:numPr>
          <w:ilvl w:val="0"/>
          <w:numId w:val="15"/>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Больше внимания уделяется нарушениям прав FACB, </w:t>
      </w:r>
      <w:r w:rsidR="00203733" w:rsidRPr="00852214">
        <w:rPr>
          <w:rFonts w:ascii="Times New Roman" w:eastAsia="Times New Roman" w:hAnsi="Times New Roman" w:cs="Times New Roman"/>
          <w:sz w:val="24"/>
          <w:szCs w:val="24"/>
          <w:lang w:eastAsia="ru-RU"/>
        </w:rPr>
        <w:t>в отношении</w:t>
      </w:r>
      <w:r w:rsidRPr="00852214">
        <w:rPr>
          <w:rFonts w:ascii="Times New Roman" w:eastAsia="Times New Roman" w:hAnsi="Times New Roman" w:cs="Times New Roman"/>
          <w:sz w:val="24"/>
          <w:szCs w:val="24"/>
          <w:lang w:eastAsia="ru-RU"/>
        </w:rPr>
        <w:t xml:space="preserve"> должностных лиц организаций работников и работодателей.</w:t>
      </w:r>
    </w:p>
    <w:p w:rsidR="00F07DB2" w:rsidRPr="00852214" w:rsidRDefault="00F07DB2" w:rsidP="00852214">
      <w:pPr>
        <w:pStyle w:val="a3"/>
        <w:numPr>
          <w:ilvl w:val="0"/>
          <w:numId w:val="15"/>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Устранение всех критериев о</w:t>
      </w:r>
      <w:r w:rsidR="00AA7833" w:rsidRPr="00852214">
        <w:rPr>
          <w:rFonts w:ascii="Times New Roman" w:eastAsia="Times New Roman" w:hAnsi="Times New Roman" w:cs="Times New Roman"/>
          <w:sz w:val="24"/>
          <w:szCs w:val="24"/>
          <w:lang w:eastAsia="ru-RU"/>
        </w:rPr>
        <w:t>ценки, таких как «Другие юридические</w:t>
      </w:r>
      <w:r w:rsidRPr="00852214">
        <w:rPr>
          <w:rFonts w:ascii="Times New Roman" w:eastAsia="Times New Roman" w:hAnsi="Times New Roman" w:cs="Times New Roman"/>
          <w:sz w:val="24"/>
          <w:szCs w:val="24"/>
          <w:lang w:eastAsia="ru-RU"/>
        </w:rPr>
        <w:t xml:space="preserve"> акты запретов, нарушений и вмешательств» или «Другие фактические акты запретов, нарушений и вмешательств».</w:t>
      </w:r>
    </w:p>
    <w:p w:rsidR="00F07DB2" w:rsidRPr="00852214" w:rsidRDefault="00F07DB2" w:rsidP="00852214">
      <w:pPr>
        <w:pStyle w:val="a3"/>
        <w:numPr>
          <w:ilvl w:val="0"/>
          <w:numId w:val="15"/>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Кодирование нарушений </w:t>
      </w:r>
      <w:r w:rsidR="00203733" w:rsidRPr="00852214">
        <w:rPr>
          <w:rFonts w:ascii="Times New Roman" w:eastAsia="Times New Roman" w:hAnsi="Times New Roman" w:cs="Times New Roman"/>
          <w:sz w:val="24"/>
          <w:szCs w:val="24"/>
          <w:lang w:eastAsia="ru-RU"/>
        </w:rPr>
        <w:t xml:space="preserve">в </w:t>
      </w:r>
      <w:proofErr w:type="gramStart"/>
      <w:r w:rsidR="00203733" w:rsidRPr="00852214">
        <w:rPr>
          <w:rFonts w:ascii="Times New Roman" w:eastAsia="Times New Roman" w:hAnsi="Times New Roman" w:cs="Times New Roman"/>
          <w:sz w:val="24"/>
          <w:szCs w:val="24"/>
          <w:lang w:eastAsia="ru-RU"/>
        </w:rPr>
        <w:t>отношении</w:t>
      </w:r>
      <w:proofErr w:type="gramEnd"/>
      <w:r w:rsidR="00203733" w:rsidRPr="00852214">
        <w:rPr>
          <w:rFonts w:ascii="Times New Roman" w:eastAsia="Times New Roman" w:hAnsi="Times New Roman" w:cs="Times New Roman"/>
          <w:sz w:val="24"/>
          <w:szCs w:val="24"/>
          <w:lang w:eastAsia="ru-RU"/>
        </w:rPr>
        <w:t xml:space="preserve"> </w:t>
      </w:r>
      <w:r w:rsidRPr="00852214">
        <w:rPr>
          <w:rFonts w:ascii="Times New Roman" w:eastAsia="Times New Roman" w:hAnsi="Times New Roman" w:cs="Times New Roman"/>
          <w:sz w:val="24"/>
          <w:szCs w:val="24"/>
          <w:lang w:eastAsia="ru-RU"/>
        </w:rPr>
        <w:t>как рабочих, так и рабочих организаций, работодателей и организаций работодателей.</w:t>
      </w:r>
    </w:p>
    <w:p w:rsidR="00F07DB2" w:rsidRPr="00852214" w:rsidRDefault="00F07DB2" w:rsidP="00852214">
      <w:pPr>
        <w:pStyle w:val="a3"/>
        <w:numPr>
          <w:ilvl w:val="0"/>
          <w:numId w:val="15"/>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Исходя из предыдущих пунктов, увеличение числа критериев оценки с 37 до 180 (103 критерия оценки для организаций работников и 77 критериев оценки для организаций работодателей).</w:t>
      </w:r>
    </w:p>
    <w:p w:rsidR="00F07DB2" w:rsidRPr="00852214" w:rsidRDefault="00F07DB2" w:rsidP="00852214">
      <w:pPr>
        <w:pStyle w:val="a3"/>
        <w:numPr>
          <w:ilvl w:val="0"/>
          <w:numId w:val="15"/>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Более полные определения того, что представляет собой нарушение каждого из критериев оценки.</w:t>
      </w:r>
    </w:p>
    <w:p w:rsidR="00F07DB2" w:rsidRPr="00852214" w:rsidRDefault="00F07DB2" w:rsidP="00852214">
      <w:pPr>
        <w:pStyle w:val="a3"/>
        <w:numPr>
          <w:ilvl w:val="0"/>
          <w:numId w:val="15"/>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Использование метода экспертной </w:t>
      </w:r>
      <w:r w:rsidR="00203733" w:rsidRPr="00852214">
        <w:rPr>
          <w:rFonts w:ascii="Times New Roman" w:eastAsia="Times New Roman" w:hAnsi="Times New Roman" w:cs="Times New Roman"/>
          <w:sz w:val="24"/>
          <w:szCs w:val="24"/>
          <w:lang w:eastAsia="ru-RU"/>
        </w:rPr>
        <w:t>оценки</w:t>
      </w:r>
      <w:r w:rsidRPr="00852214">
        <w:rPr>
          <w:rFonts w:ascii="Times New Roman" w:eastAsia="Times New Roman" w:hAnsi="Times New Roman" w:cs="Times New Roman"/>
          <w:sz w:val="24"/>
          <w:szCs w:val="24"/>
          <w:lang w:eastAsia="ru-RU"/>
        </w:rPr>
        <w:t xml:space="preserve"> </w:t>
      </w:r>
      <w:proofErr w:type="spellStart"/>
      <w:r w:rsidRPr="00852214">
        <w:rPr>
          <w:rFonts w:ascii="Times New Roman" w:eastAsia="Times New Roman" w:hAnsi="Times New Roman" w:cs="Times New Roman"/>
          <w:sz w:val="24"/>
          <w:szCs w:val="24"/>
          <w:lang w:eastAsia="ru-RU"/>
        </w:rPr>
        <w:t>Delphi</w:t>
      </w:r>
      <w:proofErr w:type="spellEnd"/>
      <w:r w:rsidRPr="00852214">
        <w:rPr>
          <w:rFonts w:ascii="Times New Roman" w:eastAsia="Times New Roman" w:hAnsi="Times New Roman" w:cs="Times New Roman"/>
          <w:sz w:val="24"/>
          <w:szCs w:val="24"/>
          <w:lang w:eastAsia="ru-RU"/>
        </w:rPr>
        <w:t xml:space="preserve"> для определения весов для каждого из критериев оценки.</w:t>
      </w:r>
    </w:p>
    <w:p w:rsidR="00F07DB2" w:rsidRPr="00852214" w:rsidRDefault="00F07DB2" w:rsidP="00852214">
      <w:pPr>
        <w:pStyle w:val="a3"/>
        <w:numPr>
          <w:ilvl w:val="0"/>
          <w:numId w:val="15"/>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Возможно, </w:t>
      </w:r>
      <w:r w:rsidR="00203733" w:rsidRPr="00852214">
        <w:rPr>
          <w:rFonts w:ascii="Times New Roman" w:eastAsia="Times New Roman" w:hAnsi="Times New Roman" w:cs="Times New Roman"/>
          <w:sz w:val="24"/>
          <w:szCs w:val="24"/>
          <w:lang w:eastAsia="ru-RU"/>
        </w:rPr>
        <w:t>наиболее фундаментально, в то время как предыдущий метод был разработан экономистами, новый метод был разработан в равной мере юристами по трудовым вопросам и экономистами, работающими в тесном сотрудничестве, с кодированием, выполненным юристами по трудовым вопросам, а не экономистами.</w:t>
      </w:r>
    </w:p>
    <w:p w:rsidR="00F07DB2" w:rsidRDefault="00F07DB2"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Что касается основных элементов нового метода, то использование метода </w:t>
      </w:r>
      <w:proofErr w:type="spellStart"/>
      <w:r w:rsidRPr="00852214">
        <w:rPr>
          <w:rFonts w:ascii="Times New Roman" w:eastAsia="Times New Roman" w:hAnsi="Times New Roman" w:cs="Times New Roman"/>
          <w:sz w:val="24"/>
          <w:szCs w:val="24"/>
          <w:lang w:eastAsia="ru-RU"/>
        </w:rPr>
        <w:t>Delphi</w:t>
      </w:r>
      <w:proofErr w:type="spellEnd"/>
      <w:r w:rsidRPr="00852214">
        <w:rPr>
          <w:rFonts w:ascii="Times New Roman" w:eastAsia="Times New Roman" w:hAnsi="Times New Roman" w:cs="Times New Roman"/>
          <w:sz w:val="24"/>
          <w:szCs w:val="24"/>
          <w:lang w:eastAsia="ru-RU"/>
        </w:rPr>
        <w:t xml:space="preserve"> для определения весов и правил преобразования кодированной информации в нормализованные </w:t>
      </w:r>
      <w:r w:rsidR="009D771F" w:rsidRPr="00852214">
        <w:rPr>
          <w:rFonts w:ascii="Times New Roman" w:eastAsia="Times New Roman" w:hAnsi="Times New Roman" w:cs="Times New Roman"/>
          <w:sz w:val="24"/>
          <w:szCs w:val="24"/>
          <w:lang w:eastAsia="ru-RU"/>
        </w:rPr>
        <w:t>показатели</w:t>
      </w:r>
      <w:r w:rsidRPr="00852214">
        <w:rPr>
          <w:rFonts w:ascii="Times New Roman" w:eastAsia="Times New Roman" w:hAnsi="Times New Roman" w:cs="Times New Roman"/>
          <w:sz w:val="24"/>
          <w:szCs w:val="24"/>
          <w:lang w:eastAsia="ru-RU"/>
        </w:rPr>
        <w:t xml:space="preserve"> в диапазоне от 0 до 10 (наилучшие и наихудшие возможные баллы соответственно).</w:t>
      </w:r>
    </w:p>
    <w:p w:rsidR="00852214" w:rsidRPr="00852214" w:rsidRDefault="00852214"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p>
    <w:p w:rsidR="00F07DB2" w:rsidRPr="00852214" w:rsidRDefault="00F07DB2" w:rsidP="00852214">
      <w:pPr>
        <w:spacing w:before="100" w:beforeAutospacing="1" w:after="100" w:afterAutospacing="1" w:line="276" w:lineRule="auto"/>
        <w:jc w:val="both"/>
        <w:rPr>
          <w:rFonts w:ascii="Times New Roman" w:eastAsia="Times New Roman" w:hAnsi="Times New Roman" w:cs="Times New Roman"/>
          <w:b/>
          <w:color w:val="0070C0"/>
          <w:sz w:val="24"/>
          <w:szCs w:val="24"/>
          <w:lang w:eastAsia="ru-RU"/>
        </w:rPr>
      </w:pPr>
      <w:r w:rsidRPr="00852214">
        <w:rPr>
          <w:rFonts w:ascii="Times New Roman" w:eastAsia="Times New Roman" w:hAnsi="Times New Roman" w:cs="Times New Roman"/>
          <w:b/>
          <w:color w:val="0070C0"/>
          <w:sz w:val="24"/>
          <w:szCs w:val="24"/>
          <w:lang w:eastAsia="ru-RU"/>
        </w:rPr>
        <w:t>Ключевые предпосылки</w:t>
      </w:r>
    </w:p>
    <w:p w:rsidR="00F07DB2" w:rsidRPr="00852214" w:rsidRDefault="00F07DB2"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Ключевыми предпосылками, на которых основаны эти показатели, являются: </w:t>
      </w:r>
    </w:p>
    <w:p w:rsidR="00F07DB2" w:rsidRPr="00852214" w:rsidRDefault="00F07DB2" w:rsidP="00852214">
      <w:pPr>
        <w:pStyle w:val="a3"/>
        <w:numPr>
          <w:ilvl w:val="0"/>
          <w:numId w:val="4"/>
        </w:numPr>
        <w:spacing w:before="100" w:beforeAutospacing="1" w:after="100" w:afterAutospacing="1" w:line="276" w:lineRule="auto"/>
        <w:ind w:left="0" w:firstLine="0"/>
        <w:contextualSpacing w:val="0"/>
        <w:jc w:val="both"/>
        <w:rPr>
          <w:rFonts w:ascii="Times New Roman" w:eastAsia="Times New Roman" w:hAnsi="Times New Roman" w:cs="Times New Roman"/>
          <w:sz w:val="24"/>
          <w:szCs w:val="24"/>
          <w:lang w:eastAsia="ru-RU"/>
        </w:rPr>
      </w:pPr>
      <w:proofErr w:type="spellStart"/>
      <w:r w:rsidRPr="00852214">
        <w:rPr>
          <w:rFonts w:ascii="Times New Roman" w:eastAsia="Times New Roman" w:hAnsi="Times New Roman" w:cs="Times New Roman"/>
          <w:sz w:val="24"/>
          <w:szCs w:val="24"/>
          <w:lang w:eastAsia="ru-RU"/>
        </w:rPr>
        <w:t>валидность</w:t>
      </w:r>
      <w:proofErr w:type="spellEnd"/>
      <w:r w:rsidRPr="00852214">
        <w:rPr>
          <w:rFonts w:ascii="Times New Roman" w:eastAsia="Times New Roman" w:hAnsi="Times New Roman" w:cs="Times New Roman"/>
          <w:sz w:val="24"/>
          <w:szCs w:val="24"/>
          <w:lang w:eastAsia="ru-RU"/>
        </w:rPr>
        <w:t xml:space="preserve"> определения - степень, в которой критерии оценки и их соответствующие определения точно отражают явления, </w:t>
      </w:r>
      <w:r w:rsidR="00203733" w:rsidRPr="00852214">
        <w:rPr>
          <w:rFonts w:ascii="Times New Roman" w:eastAsia="Times New Roman" w:hAnsi="Times New Roman" w:cs="Times New Roman"/>
          <w:sz w:val="24"/>
          <w:szCs w:val="24"/>
          <w:lang w:eastAsia="ru-RU"/>
        </w:rPr>
        <w:t xml:space="preserve">для измерения </w:t>
      </w:r>
      <w:r w:rsidRPr="00852214">
        <w:rPr>
          <w:rFonts w:ascii="Times New Roman" w:eastAsia="Times New Roman" w:hAnsi="Times New Roman" w:cs="Times New Roman"/>
          <w:sz w:val="24"/>
          <w:szCs w:val="24"/>
          <w:lang w:eastAsia="ru-RU"/>
        </w:rPr>
        <w:t>которы</w:t>
      </w:r>
      <w:r w:rsidR="00203733" w:rsidRPr="00852214">
        <w:rPr>
          <w:rFonts w:ascii="Times New Roman" w:eastAsia="Times New Roman" w:hAnsi="Times New Roman" w:cs="Times New Roman"/>
          <w:sz w:val="24"/>
          <w:szCs w:val="24"/>
          <w:lang w:eastAsia="ru-RU"/>
        </w:rPr>
        <w:t>х</w:t>
      </w:r>
      <w:r w:rsidRPr="00852214">
        <w:rPr>
          <w:rFonts w:ascii="Times New Roman" w:eastAsia="Times New Roman" w:hAnsi="Times New Roman" w:cs="Times New Roman"/>
          <w:sz w:val="24"/>
          <w:szCs w:val="24"/>
          <w:lang w:eastAsia="ru-RU"/>
        </w:rPr>
        <w:t xml:space="preserve"> они предназначены; </w:t>
      </w:r>
    </w:p>
    <w:p w:rsidR="00F07DB2" w:rsidRPr="00852214" w:rsidRDefault="00F07DB2" w:rsidP="00852214">
      <w:pPr>
        <w:pStyle w:val="a3"/>
        <w:numPr>
          <w:ilvl w:val="0"/>
          <w:numId w:val="4"/>
        </w:numPr>
        <w:spacing w:before="100" w:beforeAutospacing="1" w:after="100" w:afterAutospacing="1" w:line="276" w:lineRule="auto"/>
        <w:ind w:left="0" w:firstLine="0"/>
        <w:contextualSpacing w:val="0"/>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прозрачность - как легко закодированное нарушение может быть прослежено до любого заданного текстового источника; и </w:t>
      </w:r>
    </w:p>
    <w:p w:rsidR="00F07DB2" w:rsidRPr="00852214" w:rsidRDefault="00F07DB2" w:rsidP="00852214">
      <w:pPr>
        <w:pStyle w:val="a3"/>
        <w:numPr>
          <w:ilvl w:val="0"/>
          <w:numId w:val="4"/>
        </w:numPr>
        <w:spacing w:before="100" w:beforeAutospacing="1" w:after="100" w:afterAutospacing="1" w:line="276" w:lineRule="auto"/>
        <w:ind w:left="0" w:firstLine="0"/>
        <w:contextualSpacing w:val="0"/>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lastRenderedPageBreak/>
        <w:t xml:space="preserve">надежность </w:t>
      </w:r>
      <w:proofErr w:type="spellStart"/>
      <w:r w:rsidRPr="00852214">
        <w:rPr>
          <w:rFonts w:ascii="Times New Roman" w:eastAsia="Times New Roman" w:hAnsi="Times New Roman" w:cs="Times New Roman"/>
          <w:sz w:val="24"/>
          <w:szCs w:val="24"/>
          <w:lang w:eastAsia="ru-RU"/>
        </w:rPr>
        <w:t>межкодера</w:t>
      </w:r>
      <w:proofErr w:type="spellEnd"/>
      <w:r w:rsidRPr="00852214">
        <w:rPr>
          <w:rFonts w:ascii="Times New Roman" w:eastAsia="Times New Roman" w:hAnsi="Times New Roman" w:cs="Times New Roman"/>
          <w:sz w:val="24"/>
          <w:szCs w:val="24"/>
          <w:lang w:eastAsia="ru-RU"/>
        </w:rPr>
        <w:t xml:space="preserve"> - </w:t>
      </w:r>
      <w:r w:rsidR="00F23DC5" w:rsidRPr="00852214">
        <w:rPr>
          <w:rFonts w:ascii="Times New Roman" w:eastAsia="Times New Roman" w:hAnsi="Times New Roman" w:cs="Times New Roman"/>
          <w:sz w:val="24"/>
          <w:szCs w:val="24"/>
          <w:lang w:eastAsia="ru-RU"/>
        </w:rPr>
        <w:t>степень, в которой различные оценщики, работающие независимо друг от друга могут последовательно достичь тех же результатов</w:t>
      </w:r>
      <w:r w:rsidRPr="00852214">
        <w:rPr>
          <w:rFonts w:ascii="Times New Roman" w:eastAsia="Times New Roman" w:hAnsi="Times New Roman" w:cs="Times New Roman"/>
          <w:sz w:val="24"/>
          <w:szCs w:val="24"/>
          <w:lang w:eastAsia="ru-RU"/>
        </w:rPr>
        <w:t>.</w:t>
      </w:r>
    </w:p>
    <w:p w:rsidR="00F07DB2" w:rsidRPr="00852214" w:rsidRDefault="00F23DC5"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proofErr w:type="spellStart"/>
      <w:r w:rsidRPr="00852214">
        <w:rPr>
          <w:rFonts w:ascii="Times New Roman" w:eastAsia="Times New Roman" w:hAnsi="Times New Roman" w:cs="Times New Roman"/>
          <w:i/>
          <w:sz w:val="24"/>
          <w:szCs w:val="24"/>
          <w:lang w:eastAsia="ru-RU"/>
        </w:rPr>
        <w:t>Валидность</w:t>
      </w:r>
      <w:proofErr w:type="spellEnd"/>
      <w:r w:rsidR="00F07DB2" w:rsidRPr="00852214">
        <w:rPr>
          <w:rFonts w:ascii="Times New Roman" w:eastAsia="Times New Roman" w:hAnsi="Times New Roman" w:cs="Times New Roman"/>
          <w:i/>
          <w:sz w:val="24"/>
          <w:szCs w:val="24"/>
          <w:lang w:eastAsia="ru-RU"/>
        </w:rPr>
        <w:t xml:space="preserve"> определения.</w:t>
      </w:r>
      <w:r w:rsidR="00F07DB2" w:rsidRPr="00852214">
        <w:rPr>
          <w:rFonts w:ascii="Times New Roman" w:eastAsia="Times New Roman" w:hAnsi="Times New Roman" w:cs="Times New Roman"/>
          <w:sz w:val="24"/>
          <w:szCs w:val="24"/>
          <w:lang w:eastAsia="ru-RU"/>
        </w:rPr>
        <w:t xml:space="preserve"> Поскольку речь идет о показателях международных прав FACB, критерии оценки и соответствующие им определения непосредственно основываются на Уставе МОТ, конвенциях МОТ № 87 и 98 и соответствующем своде замечаний надзорных органов МОТ.</w:t>
      </w:r>
      <w:r w:rsidR="00F07DB2" w:rsidRPr="00852214">
        <w:rPr>
          <w:rStyle w:val="a6"/>
          <w:rFonts w:ascii="Times New Roman" w:eastAsia="Times New Roman" w:hAnsi="Times New Roman" w:cs="Times New Roman"/>
          <w:sz w:val="24"/>
          <w:szCs w:val="24"/>
          <w:lang w:eastAsia="ru-RU"/>
        </w:rPr>
        <w:footnoteReference w:id="1"/>
      </w:r>
      <w:r w:rsidR="00F07DB2" w:rsidRPr="00852214">
        <w:rPr>
          <w:rFonts w:ascii="Times New Roman" w:eastAsia="Times New Roman" w:hAnsi="Times New Roman" w:cs="Times New Roman"/>
          <w:sz w:val="24"/>
          <w:szCs w:val="24"/>
          <w:lang w:eastAsia="ru-RU"/>
        </w:rPr>
        <w:t xml:space="preserve"> С учетом того, что система надзора МОТ также руководствуется этими определениями, это облегчает сам процесс кодирования, учитывая большую зависимость от текстовых источников МОТ, подготовленных системой надзора.</w:t>
      </w:r>
    </w:p>
    <w:p w:rsidR="00F07DB2" w:rsidRPr="00852214" w:rsidRDefault="00F07DB2"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i/>
          <w:sz w:val="24"/>
          <w:szCs w:val="24"/>
          <w:lang w:eastAsia="ru-RU"/>
        </w:rPr>
        <w:t>Прозрачность</w:t>
      </w:r>
      <w:r w:rsidRPr="00852214">
        <w:rPr>
          <w:rFonts w:ascii="Times New Roman" w:eastAsia="Times New Roman" w:hAnsi="Times New Roman" w:cs="Times New Roman"/>
          <w:sz w:val="24"/>
          <w:szCs w:val="24"/>
          <w:lang w:eastAsia="ru-RU"/>
        </w:rPr>
        <w:t>. Ключевым обоснованием большого числа критериев оценки является устранение общих критериев оценки нарушений прав FACB, которые нигде не кодируются, то есть нарушений, для которых нет четких критериев оценки. В более общем плане, цель состояла в том, чтобы избежать нарушений, не имеющих сходного характера или степени тяжести. Такой уровень детализации также способствует прозрачности метода, поскольку очень конкретные нарушения могут быть легко прослежены до отдельных текстовых источников. Это стало возможным благодаря самому кодированию, в котором нарушения кодируются буквами от “</w:t>
      </w:r>
      <w:r w:rsidRPr="00852214">
        <w:rPr>
          <w:rFonts w:ascii="Times New Roman" w:eastAsia="Times New Roman" w:hAnsi="Times New Roman" w:cs="Times New Roman"/>
          <w:sz w:val="24"/>
          <w:szCs w:val="24"/>
          <w:lang w:val="en-US" w:eastAsia="ru-RU"/>
        </w:rPr>
        <w:t>a</w:t>
      </w:r>
      <w:r w:rsidRPr="00852214">
        <w:rPr>
          <w:rFonts w:ascii="Times New Roman" w:eastAsia="Times New Roman" w:hAnsi="Times New Roman" w:cs="Times New Roman"/>
          <w:sz w:val="24"/>
          <w:szCs w:val="24"/>
          <w:lang w:eastAsia="ru-RU"/>
        </w:rPr>
        <w:t>” до “</w:t>
      </w:r>
      <w:r w:rsidRPr="00852214">
        <w:rPr>
          <w:rFonts w:ascii="Times New Roman" w:eastAsia="Times New Roman" w:hAnsi="Times New Roman" w:cs="Times New Roman"/>
          <w:sz w:val="24"/>
          <w:szCs w:val="24"/>
          <w:lang w:val="en-US" w:eastAsia="ru-RU"/>
        </w:rPr>
        <w:t>g</w:t>
      </w:r>
      <w:r w:rsidRPr="00852214">
        <w:rPr>
          <w:rFonts w:ascii="Times New Roman" w:eastAsia="Times New Roman" w:hAnsi="Times New Roman" w:cs="Times New Roman"/>
          <w:sz w:val="24"/>
          <w:szCs w:val="24"/>
          <w:lang w:eastAsia="ru-RU"/>
        </w:rPr>
        <w:t>”, причем каждая буква соответствует одному из семи текстовых источников, как это обсуждается ниже.</w:t>
      </w:r>
    </w:p>
    <w:p w:rsidR="00F07DB2" w:rsidRDefault="00F07DB2"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i/>
          <w:sz w:val="24"/>
          <w:szCs w:val="24"/>
          <w:lang w:eastAsia="ru-RU"/>
        </w:rPr>
        <w:t xml:space="preserve">Надежность </w:t>
      </w:r>
      <w:proofErr w:type="spellStart"/>
      <w:r w:rsidRPr="00852214">
        <w:rPr>
          <w:rFonts w:ascii="Times New Roman" w:eastAsia="Times New Roman" w:hAnsi="Times New Roman" w:cs="Times New Roman"/>
          <w:i/>
          <w:sz w:val="24"/>
          <w:szCs w:val="24"/>
          <w:lang w:eastAsia="ru-RU"/>
        </w:rPr>
        <w:t>межкодера</w:t>
      </w:r>
      <w:proofErr w:type="spellEnd"/>
      <w:r w:rsidRPr="00852214">
        <w:rPr>
          <w:rFonts w:ascii="Times New Roman" w:eastAsia="Times New Roman" w:hAnsi="Times New Roman" w:cs="Times New Roman"/>
          <w:i/>
          <w:sz w:val="24"/>
          <w:szCs w:val="24"/>
          <w:lang w:eastAsia="ru-RU"/>
        </w:rPr>
        <w:t>.</w:t>
      </w:r>
      <w:r w:rsidRPr="00852214">
        <w:rPr>
          <w:rFonts w:ascii="Times New Roman" w:eastAsia="Times New Roman" w:hAnsi="Times New Roman" w:cs="Times New Roman"/>
          <w:sz w:val="24"/>
          <w:szCs w:val="24"/>
          <w:lang w:eastAsia="ru-RU"/>
        </w:rPr>
        <w:t xml:space="preserve"> Метод основан на четких и всеобъемлющих правилах кодирования, а также на определениях для каждого из критериев оценки с целью обеспечения </w:t>
      </w:r>
      <w:proofErr w:type="spellStart"/>
      <w:r w:rsidRPr="00852214">
        <w:rPr>
          <w:rFonts w:ascii="Times New Roman" w:eastAsia="Times New Roman" w:hAnsi="Times New Roman" w:cs="Times New Roman"/>
          <w:sz w:val="24"/>
          <w:szCs w:val="24"/>
          <w:lang w:eastAsia="ru-RU"/>
        </w:rPr>
        <w:t>воспроизводимости</w:t>
      </w:r>
      <w:proofErr w:type="spellEnd"/>
      <w:r w:rsidRPr="00852214">
        <w:rPr>
          <w:rFonts w:ascii="Times New Roman" w:eastAsia="Times New Roman" w:hAnsi="Times New Roman" w:cs="Times New Roman"/>
          <w:sz w:val="24"/>
          <w:szCs w:val="24"/>
          <w:lang w:eastAsia="ru-RU"/>
        </w:rPr>
        <w:t xml:space="preserve"> </w:t>
      </w:r>
      <w:r w:rsidR="009D771F" w:rsidRPr="00852214">
        <w:rPr>
          <w:rFonts w:ascii="Times New Roman" w:eastAsia="Times New Roman" w:hAnsi="Times New Roman" w:cs="Times New Roman"/>
          <w:sz w:val="24"/>
          <w:szCs w:val="24"/>
          <w:lang w:eastAsia="ru-RU"/>
        </w:rPr>
        <w:t>показателей</w:t>
      </w:r>
      <w:r w:rsidRPr="00852214">
        <w:rPr>
          <w:rFonts w:ascii="Times New Roman" w:eastAsia="Times New Roman" w:hAnsi="Times New Roman" w:cs="Times New Roman"/>
          <w:sz w:val="24"/>
          <w:szCs w:val="24"/>
          <w:lang w:eastAsia="ru-RU"/>
        </w:rPr>
        <w:t xml:space="preserve">. Надежность </w:t>
      </w:r>
      <w:proofErr w:type="spellStart"/>
      <w:r w:rsidRPr="00852214">
        <w:rPr>
          <w:rFonts w:ascii="Times New Roman" w:eastAsia="Times New Roman" w:hAnsi="Times New Roman" w:cs="Times New Roman"/>
          <w:sz w:val="24"/>
          <w:szCs w:val="24"/>
          <w:lang w:eastAsia="ru-RU"/>
        </w:rPr>
        <w:t>межкодера</w:t>
      </w:r>
      <w:proofErr w:type="spellEnd"/>
      <w:r w:rsidRPr="00852214">
        <w:rPr>
          <w:rFonts w:ascii="Times New Roman" w:eastAsia="Times New Roman" w:hAnsi="Times New Roman" w:cs="Times New Roman"/>
          <w:sz w:val="24"/>
          <w:szCs w:val="24"/>
          <w:lang w:eastAsia="ru-RU"/>
        </w:rPr>
        <w:t xml:space="preserve"> оценивалась в процессе подготовки групп юристов (последовательно и независимо друг от друга) для кодирования и двойной проверки их кодирования, что привело к ряду разъяснений и уточнений правил и определений кодирования. Этот процесс привел к выводу о том, что </w:t>
      </w:r>
      <w:r w:rsidR="008A747C" w:rsidRPr="00852214">
        <w:rPr>
          <w:rFonts w:ascii="Times New Roman" w:eastAsia="Times New Roman" w:hAnsi="Times New Roman" w:cs="Times New Roman"/>
          <w:sz w:val="24"/>
          <w:szCs w:val="24"/>
          <w:lang w:eastAsia="ru-RU"/>
        </w:rPr>
        <w:t xml:space="preserve">метод </w:t>
      </w:r>
      <w:r w:rsidRPr="00852214">
        <w:rPr>
          <w:rFonts w:ascii="Times New Roman" w:eastAsia="Times New Roman" w:hAnsi="Times New Roman" w:cs="Times New Roman"/>
          <w:sz w:val="24"/>
          <w:szCs w:val="24"/>
          <w:lang w:eastAsia="ru-RU"/>
        </w:rPr>
        <w:t>надежност</w:t>
      </w:r>
      <w:r w:rsidR="008A747C" w:rsidRPr="00852214">
        <w:rPr>
          <w:rFonts w:ascii="Times New Roman" w:eastAsia="Times New Roman" w:hAnsi="Times New Roman" w:cs="Times New Roman"/>
          <w:sz w:val="24"/>
          <w:szCs w:val="24"/>
          <w:lang w:eastAsia="ru-RU"/>
        </w:rPr>
        <w:t>и</w:t>
      </w:r>
      <w:r w:rsidRPr="00852214">
        <w:rPr>
          <w:rFonts w:ascii="Times New Roman" w:eastAsia="Times New Roman" w:hAnsi="Times New Roman" w:cs="Times New Roman"/>
          <w:sz w:val="24"/>
          <w:szCs w:val="24"/>
          <w:lang w:eastAsia="ru-RU"/>
        </w:rPr>
        <w:t xml:space="preserve"> </w:t>
      </w:r>
      <w:proofErr w:type="spellStart"/>
      <w:r w:rsidRPr="00852214">
        <w:rPr>
          <w:rFonts w:ascii="Times New Roman" w:eastAsia="Times New Roman" w:hAnsi="Times New Roman" w:cs="Times New Roman"/>
          <w:sz w:val="24"/>
          <w:szCs w:val="24"/>
          <w:lang w:eastAsia="ru-RU"/>
        </w:rPr>
        <w:t>межкодера</w:t>
      </w:r>
      <w:proofErr w:type="spellEnd"/>
      <w:r w:rsidRPr="00852214">
        <w:rPr>
          <w:rFonts w:ascii="Times New Roman" w:eastAsia="Times New Roman" w:hAnsi="Times New Roman" w:cs="Times New Roman"/>
          <w:sz w:val="24"/>
          <w:szCs w:val="24"/>
          <w:lang w:eastAsia="ru-RU"/>
        </w:rPr>
        <w:t xml:space="preserve"> зависит</w:t>
      </w:r>
      <w:r w:rsidR="00F23DC5" w:rsidRPr="00852214">
        <w:rPr>
          <w:rFonts w:ascii="Times New Roman" w:eastAsia="Times New Roman" w:hAnsi="Times New Roman" w:cs="Times New Roman"/>
          <w:sz w:val="24"/>
          <w:szCs w:val="24"/>
          <w:lang w:eastAsia="ru-RU"/>
        </w:rPr>
        <w:t>,</w:t>
      </w:r>
      <w:r w:rsidRPr="00852214">
        <w:rPr>
          <w:rFonts w:ascii="Times New Roman" w:eastAsia="Times New Roman" w:hAnsi="Times New Roman" w:cs="Times New Roman"/>
          <w:sz w:val="24"/>
          <w:szCs w:val="24"/>
          <w:lang w:eastAsia="ru-RU"/>
        </w:rPr>
        <w:t xml:space="preserve"> прежде всего</w:t>
      </w:r>
      <w:r w:rsidR="00F23DC5" w:rsidRPr="00852214">
        <w:rPr>
          <w:rFonts w:ascii="Times New Roman" w:eastAsia="Times New Roman" w:hAnsi="Times New Roman" w:cs="Times New Roman"/>
          <w:sz w:val="24"/>
          <w:szCs w:val="24"/>
          <w:lang w:eastAsia="ru-RU"/>
        </w:rPr>
        <w:t>,</w:t>
      </w:r>
      <w:r w:rsidRPr="00852214">
        <w:rPr>
          <w:rFonts w:ascii="Times New Roman" w:eastAsia="Times New Roman" w:hAnsi="Times New Roman" w:cs="Times New Roman"/>
          <w:sz w:val="24"/>
          <w:szCs w:val="24"/>
          <w:lang w:eastAsia="ru-RU"/>
        </w:rPr>
        <w:t xml:space="preserve"> от того, что кодеры достаточно хорошо обучены и, в частности, достаточно хорошо разбираются в правилах и определениях кодирования, чтобы иметь возможность последовательно применять их.</w:t>
      </w:r>
    </w:p>
    <w:p w:rsidR="00DA017F" w:rsidRDefault="00DA017F" w:rsidP="00DA017F">
      <w:pPr>
        <w:spacing w:before="100" w:beforeAutospacing="1" w:after="100" w:afterAutospacing="1" w:line="276" w:lineRule="auto"/>
        <w:jc w:val="both"/>
        <w:rPr>
          <w:rFonts w:ascii="Times New Roman" w:hAnsi="Times New Roman" w:cs="Times New Roman"/>
          <w:b/>
          <w:sz w:val="24"/>
          <w:szCs w:val="24"/>
        </w:rPr>
      </w:pPr>
    </w:p>
    <w:p w:rsidR="00DA017F" w:rsidRPr="00B27A0B" w:rsidRDefault="00DA017F" w:rsidP="00DA017F">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Pr>
          <w:rFonts w:ascii="Times New Roman" w:hAnsi="Times New Roman" w:cs="Times New Roman"/>
          <w:b/>
          <w:color w:val="0070C0"/>
          <w:sz w:val="24"/>
          <w:szCs w:val="24"/>
        </w:rPr>
        <w:t xml:space="preserve">Методология </w:t>
      </w:r>
    </w:p>
    <w:p w:rsidR="00DA017F" w:rsidRPr="00B27A0B" w:rsidRDefault="00DA017F" w:rsidP="00DA017F">
      <w:pPr>
        <w:spacing w:before="100" w:beforeAutospacing="1" w:after="100" w:afterAutospacing="1"/>
        <w:jc w:val="both"/>
        <w:rPr>
          <w:rFonts w:ascii="Times New Roman" w:hAnsi="Times New Roman" w:cs="Times New Roman"/>
          <w:b/>
          <w:color w:val="0070C0"/>
          <w:sz w:val="24"/>
          <w:szCs w:val="24"/>
        </w:rPr>
      </w:pPr>
    </w:p>
    <w:p w:rsidR="00F07DB2" w:rsidRPr="00852214" w:rsidRDefault="00F07DB2" w:rsidP="00852214">
      <w:pPr>
        <w:spacing w:before="100" w:beforeAutospacing="1" w:after="100" w:afterAutospacing="1" w:line="276" w:lineRule="auto"/>
        <w:jc w:val="both"/>
        <w:rPr>
          <w:rFonts w:ascii="Times New Roman" w:eastAsia="Times New Roman" w:hAnsi="Times New Roman" w:cs="Times New Roman"/>
          <w:b/>
          <w:sz w:val="24"/>
          <w:szCs w:val="24"/>
          <w:lang w:eastAsia="ru-RU"/>
        </w:rPr>
      </w:pPr>
      <w:r w:rsidRPr="00852214">
        <w:rPr>
          <w:rFonts w:ascii="Times New Roman" w:eastAsia="Times New Roman" w:hAnsi="Times New Roman" w:cs="Times New Roman"/>
          <w:b/>
          <w:sz w:val="24"/>
          <w:szCs w:val="24"/>
          <w:lang w:eastAsia="ru-RU"/>
        </w:rPr>
        <w:t>Метод расчета</w:t>
      </w:r>
      <w:r w:rsidR="00852214" w:rsidRPr="00852214">
        <w:rPr>
          <w:rFonts w:ascii="Times New Roman" w:eastAsia="Times New Roman" w:hAnsi="Times New Roman" w:cs="Times New Roman"/>
          <w:b/>
          <w:sz w:val="24"/>
          <w:szCs w:val="24"/>
          <w:lang w:eastAsia="ru-RU"/>
        </w:rPr>
        <w:t>:</w:t>
      </w:r>
    </w:p>
    <w:p w:rsidR="00F07DB2" w:rsidRPr="00852214" w:rsidRDefault="008A747C"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В Т</w:t>
      </w:r>
      <w:r w:rsidR="00F07DB2" w:rsidRPr="00852214">
        <w:rPr>
          <w:rFonts w:ascii="Times New Roman" w:eastAsia="Times New Roman" w:hAnsi="Times New Roman" w:cs="Times New Roman"/>
          <w:sz w:val="24"/>
          <w:szCs w:val="24"/>
          <w:lang w:eastAsia="ru-RU"/>
        </w:rPr>
        <w:t xml:space="preserve">аблице 1 перечислены критерии оценки для работников и их организаций, а в Таблице 2 - критерии оценки для работодателей и их организаций. Как показано в этих таблицах, </w:t>
      </w:r>
      <w:r w:rsidR="00F07DB2" w:rsidRPr="00852214">
        <w:rPr>
          <w:rFonts w:ascii="Times New Roman" w:eastAsia="Times New Roman" w:hAnsi="Times New Roman" w:cs="Times New Roman"/>
          <w:sz w:val="24"/>
          <w:szCs w:val="24"/>
          <w:lang w:eastAsia="ru-RU"/>
        </w:rPr>
        <w:lastRenderedPageBreak/>
        <w:t>критерии оценки сгруппированы в широкие категории, представленные римскими цифрами, которые сами по себе разделены на нарушения прав FACB в законодательстве и на практике. Другими словами, большинство критериев оценки, представляющих нарушения в законодательстве</w:t>
      </w:r>
      <w:r w:rsidRPr="00852214">
        <w:rPr>
          <w:rFonts w:ascii="Times New Roman" w:eastAsia="Times New Roman" w:hAnsi="Times New Roman" w:cs="Times New Roman"/>
          <w:sz w:val="24"/>
          <w:szCs w:val="24"/>
          <w:lang w:eastAsia="ru-RU"/>
        </w:rPr>
        <w:t xml:space="preserve"> (праве)</w:t>
      </w:r>
      <w:r w:rsidR="00F07DB2" w:rsidRPr="00852214">
        <w:rPr>
          <w:rFonts w:ascii="Times New Roman" w:eastAsia="Times New Roman" w:hAnsi="Times New Roman" w:cs="Times New Roman"/>
          <w:sz w:val="24"/>
          <w:szCs w:val="24"/>
          <w:lang w:eastAsia="ru-RU"/>
        </w:rPr>
        <w:t>, имеют партнера, представляющего нарушения на практике, и наоборот.</w:t>
      </w:r>
    </w:p>
    <w:p w:rsidR="00F07DB2" w:rsidRPr="00852214" w:rsidRDefault="00F07DB2" w:rsidP="00852214">
      <w:pPr>
        <w:pStyle w:val="a3"/>
        <w:numPr>
          <w:ilvl w:val="0"/>
          <w:numId w:val="16"/>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Нарушения в законодательстве относятся к национальному законодательству, которое не соответствует правам FACB, определенным МОТ, а также действиям, предпринимаемым на основе такого законодательства.</w:t>
      </w:r>
    </w:p>
    <w:p w:rsidR="00F07DB2" w:rsidRPr="00852214" w:rsidRDefault="00F07DB2" w:rsidP="00852214">
      <w:pPr>
        <w:pStyle w:val="a3"/>
        <w:numPr>
          <w:ilvl w:val="0"/>
          <w:numId w:val="16"/>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Нарушения на практике касаются действий, совершенных и нарушающих существующее национальное законодательство, которое соответствует правам FACB, определенным МОТ.</w:t>
      </w:r>
      <w:r w:rsidR="00EE0A56" w:rsidRPr="00852214">
        <w:rPr>
          <w:rStyle w:val="a6"/>
          <w:rFonts w:ascii="Times New Roman" w:eastAsia="Times New Roman" w:hAnsi="Times New Roman" w:cs="Times New Roman"/>
          <w:sz w:val="24"/>
          <w:szCs w:val="24"/>
          <w:lang w:eastAsia="ru-RU"/>
        </w:rPr>
        <w:footnoteReference w:id="2"/>
      </w:r>
    </w:p>
    <w:tbl>
      <w:tblPr>
        <w:tblW w:w="5323" w:type="pct"/>
        <w:tblInd w:w="-459" w:type="dxa"/>
        <w:tblBorders>
          <w:bottom w:val="single" w:sz="4" w:space="0" w:color="auto"/>
          <w:insideH w:val="single" w:sz="4" w:space="0" w:color="auto"/>
        </w:tblBorders>
        <w:tblLayout w:type="fixed"/>
        <w:tblLook w:val="04A0" w:firstRow="1" w:lastRow="0" w:firstColumn="1" w:lastColumn="0" w:noHBand="0" w:noVBand="1"/>
      </w:tblPr>
      <w:tblGrid>
        <w:gridCol w:w="539"/>
        <w:gridCol w:w="4473"/>
        <w:gridCol w:w="255"/>
        <w:gridCol w:w="984"/>
        <w:gridCol w:w="683"/>
        <w:gridCol w:w="255"/>
        <w:gridCol w:w="968"/>
        <w:gridCol w:w="679"/>
        <w:gridCol w:w="255"/>
        <w:gridCol w:w="1098"/>
      </w:tblGrid>
      <w:tr w:rsidR="00F07DB2" w:rsidRPr="00852214" w:rsidTr="00F07DB2">
        <w:trPr>
          <w:trHeight w:val="375"/>
        </w:trPr>
        <w:tc>
          <w:tcPr>
            <w:tcW w:w="5000" w:type="pct"/>
            <w:gridSpan w:val="10"/>
            <w:tcBorders>
              <w:top w:val="nil"/>
              <w:bottom w:val="nil"/>
            </w:tcBorders>
            <w:shd w:val="clear" w:color="000000" w:fill="FFFFFF"/>
            <w:noWrap/>
            <w:hideMark/>
          </w:tcPr>
          <w:p w:rsidR="00F07DB2" w:rsidRPr="00852214" w:rsidRDefault="00EE0A56"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 xml:space="preserve">Таблица 1: Критерии оценки, результаты </w:t>
            </w:r>
            <w:r w:rsidR="00785012" w:rsidRPr="00852214">
              <w:rPr>
                <w:rFonts w:ascii="Times New Roman" w:hAnsi="Times New Roman" w:cs="Times New Roman"/>
                <w:b/>
                <w:bCs/>
                <w:color w:val="000000"/>
                <w:sz w:val="24"/>
                <w:szCs w:val="24"/>
                <w:lang w:eastAsia="en-GB"/>
              </w:rPr>
              <w:t xml:space="preserve">метода </w:t>
            </w:r>
            <w:r w:rsidRPr="00852214">
              <w:rPr>
                <w:rFonts w:ascii="Times New Roman" w:hAnsi="Times New Roman" w:cs="Times New Roman"/>
                <w:b/>
                <w:bCs/>
                <w:color w:val="000000"/>
                <w:sz w:val="24"/>
                <w:szCs w:val="24"/>
                <w:lang w:eastAsia="en-GB"/>
              </w:rPr>
              <w:t>и вес</w:t>
            </w:r>
            <w:r w:rsidR="00785012" w:rsidRPr="00852214">
              <w:rPr>
                <w:rFonts w:ascii="Times New Roman" w:hAnsi="Times New Roman" w:cs="Times New Roman"/>
                <w:b/>
                <w:bCs/>
                <w:color w:val="000000"/>
                <w:sz w:val="24"/>
                <w:szCs w:val="24"/>
                <w:lang w:eastAsia="en-GB"/>
              </w:rPr>
              <w:t>а</w:t>
            </w:r>
            <w:r w:rsidRPr="00852214">
              <w:rPr>
                <w:rFonts w:ascii="Times New Roman" w:hAnsi="Times New Roman" w:cs="Times New Roman"/>
                <w:b/>
                <w:bCs/>
                <w:color w:val="000000"/>
                <w:sz w:val="24"/>
                <w:szCs w:val="24"/>
                <w:lang w:eastAsia="en-GB"/>
              </w:rPr>
              <w:t xml:space="preserve"> </w:t>
            </w:r>
            <w:proofErr w:type="spellStart"/>
            <w:r w:rsidRPr="00852214">
              <w:rPr>
                <w:rFonts w:ascii="Times New Roman" w:hAnsi="Times New Roman" w:cs="Times New Roman"/>
                <w:b/>
                <w:bCs/>
                <w:color w:val="000000"/>
                <w:sz w:val="24"/>
                <w:szCs w:val="24"/>
                <w:lang w:eastAsia="en-GB"/>
              </w:rPr>
              <w:t>Delphi</w:t>
            </w:r>
            <w:proofErr w:type="spellEnd"/>
          </w:p>
        </w:tc>
      </w:tr>
      <w:tr w:rsidR="00F07DB2" w:rsidRPr="00852214" w:rsidTr="00EF46C3">
        <w:trPr>
          <w:trHeight w:val="375"/>
        </w:trPr>
        <w:tc>
          <w:tcPr>
            <w:tcW w:w="265" w:type="pct"/>
            <w:tcBorders>
              <w:top w:val="nil"/>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val="en-US" w:eastAsia="en-GB"/>
              </w:rPr>
              <w:t> </w:t>
            </w:r>
          </w:p>
        </w:tc>
        <w:tc>
          <w:tcPr>
            <w:tcW w:w="2195" w:type="pct"/>
            <w:tcBorders>
              <w:top w:val="nil"/>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val="en-US" w:eastAsia="en-GB"/>
              </w:rPr>
              <w:t> </w:t>
            </w:r>
          </w:p>
        </w:tc>
        <w:tc>
          <w:tcPr>
            <w:tcW w:w="125" w:type="pct"/>
            <w:tcBorders>
              <w:top w:val="nil"/>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val="en-US" w:eastAsia="en-GB"/>
              </w:rPr>
              <w:t> </w:t>
            </w:r>
          </w:p>
        </w:tc>
        <w:tc>
          <w:tcPr>
            <w:tcW w:w="483" w:type="pct"/>
            <w:tcBorders>
              <w:top w:val="nil"/>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val="en-US" w:eastAsia="en-GB"/>
              </w:rPr>
              <w:t> </w:t>
            </w:r>
          </w:p>
        </w:tc>
        <w:tc>
          <w:tcPr>
            <w:tcW w:w="335" w:type="pct"/>
            <w:tcBorders>
              <w:top w:val="nil"/>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val="en-US" w:eastAsia="en-GB"/>
              </w:rPr>
              <w:t> </w:t>
            </w:r>
          </w:p>
        </w:tc>
        <w:tc>
          <w:tcPr>
            <w:tcW w:w="125" w:type="pct"/>
            <w:tcBorders>
              <w:top w:val="nil"/>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val="en-US" w:eastAsia="en-GB"/>
              </w:rPr>
              <w:t> </w:t>
            </w:r>
          </w:p>
        </w:tc>
        <w:tc>
          <w:tcPr>
            <w:tcW w:w="475" w:type="pct"/>
            <w:tcBorders>
              <w:top w:val="nil"/>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val="en-US" w:eastAsia="en-GB"/>
              </w:rPr>
              <w:t> </w:t>
            </w:r>
          </w:p>
        </w:tc>
        <w:tc>
          <w:tcPr>
            <w:tcW w:w="333" w:type="pct"/>
            <w:tcBorders>
              <w:top w:val="nil"/>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val="en-US" w:eastAsia="en-GB"/>
              </w:rPr>
              <w:t> </w:t>
            </w:r>
          </w:p>
        </w:tc>
        <w:tc>
          <w:tcPr>
            <w:tcW w:w="125" w:type="pct"/>
            <w:tcBorders>
              <w:top w:val="nil"/>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val="en-US" w:eastAsia="en-GB"/>
              </w:rPr>
              <w:t> </w:t>
            </w:r>
          </w:p>
        </w:tc>
        <w:tc>
          <w:tcPr>
            <w:tcW w:w="539" w:type="pct"/>
            <w:tcBorders>
              <w:top w:val="nil"/>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val="en-US" w:eastAsia="en-GB"/>
              </w:rPr>
              <w:t> </w:t>
            </w:r>
          </w:p>
        </w:tc>
      </w:tr>
      <w:tr w:rsidR="00F07DB2" w:rsidRPr="00852214" w:rsidTr="00EF46C3">
        <w:trPr>
          <w:trHeight w:val="315"/>
        </w:trPr>
        <w:tc>
          <w:tcPr>
            <w:tcW w:w="265" w:type="pct"/>
            <w:tcBorders>
              <w:top w:val="nil"/>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2195" w:type="pct"/>
            <w:tcBorders>
              <w:top w:val="nil"/>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val="en-US" w:eastAsia="en-GB"/>
              </w:rPr>
              <w:t> </w:t>
            </w:r>
          </w:p>
        </w:tc>
        <w:tc>
          <w:tcPr>
            <w:tcW w:w="125" w:type="pct"/>
            <w:tcBorders>
              <w:top w:val="nil"/>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val="en-US" w:eastAsia="en-GB"/>
              </w:rPr>
              <w:t> </w:t>
            </w:r>
          </w:p>
        </w:tc>
        <w:tc>
          <w:tcPr>
            <w:tcW w:w="1751" w:type="pct"/>
            <w:gridSpan w:val="5"/>
            <w:tcBorders>
              <w:top w:val="nil"/>
              <w:bottom w:val="single" w:sz="4" w:space="0" w:color="auto"/>
            </w:tcBorders>
            <w:shd w:val="clear" w:color="000000" w:fill="FFFFFF"/>
            <w:noWrap/>
            <w:hideMark/>
          </w:tcPr>
          <w:p w:rsidR="00F07DB2" w:rsidRPr="00852214" w:rsidRDefault="0078501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 xml:space="preserve">результаты метода </w:t>
            </w:r>
            <w:proofErr w:type="spellStart"/>
            <w:r w:rsidRPr="00852214">
              <w:rPr>
                <w:rFonts w:ascii="Times New Roman" w:hAnsi="Times New Roman" w:cs="Times New Roman"/>
                <w:b/>
                <w:bCs/>
                <w:color w:val="000000"/>
                <w:sz w:val="24"/>
                <w:szCs w:val="24"/>
                <w:lang w:eastAsia="en-GB"/>
              </w:rPr>
              <w:t>Delphi</w:t>
            </w:r>
            <w:proofErr w:type="spellEnd"/>
          </w:p>
        </w:tc>
        <w:tc>
          <w:tcPr>
            <w:tcW w:w="125" w:type="pct"/>
            <w:tcBorders>
              <w:top w:val="nil"/>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tcBorders>
              <w:top w:val="nil"/>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r>
      <w:tr w:rsidR="00F07DB2" w:rsidRPr="00852214" w:rsidTr="00EF46C3">
        <w:trPr>
          <w:trHeight w:val="315"/>
        </w:trPr>
        <w:tc>
          <w:tcPr>
            <w:tcW w:w="265" w:type="pct"/>
            <w:tcBorders>
              <w:top w:val="nil"/>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2195" w:type="pct"/>
            <w:tcBorders>
              <w:top w:val="nil"/>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 </w:t>
            </w:r>
          </w:p>
        </w:tc>
        <w:tc>
          <w:tcPr>
            <w:tcW w:w="125" w:type="pct"/>
            <w:tcBorders>
              <w:top w:val="nil"/>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 </w:t>
            </w:r>
          </w:p>
        </w:tc>
        <w:tc>
          <w:tcPr>
            <w:tcW w:w="818" w:type="pct"/>
            <w:gridSpan w:val="2"/>
            <w:tcBorders>
              <w:top w:val="single" w:sz="4" w:space="0" w:color="auto"/>
              <w:bottom w:val="single" w:sz="4" w:space="0" w:color="auto"/>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1</w:t>
            </w:r>
            <w:r w:rsidR="00785012" w:rsidRPr="00852214">
              <w:rPr>
                <w:rFonts w:ascii="Times New Roman" w:hAnsi="Times New Roman" w:cs="Times New Roman"/>
                <w:b/>
                <w:bCs/>
                <w:color w:val="000000"/>
                <w:sz w:val="24"/>
                <w:szCs w:val="24"/>
                <w:lang w:eastAsia="en-GB"/>
              </w:rPr>
              <w:t>ый</w:t>
            </w:r>
            <w:r w:rsidRPr="00852214">
              <w:rPr>
                <w:rFonts w:ascii="Times New Roman" w:hAnsi="Times New Roman" w:cs="Times New Roman"/>
                <w:b/>
                <w:bCs/>
                <w:color w:val="000000"/>
                <w:sz w:val="24"/>
                <w:szCs w:val="24"/>
                <w:lang w:eastAsia="en-GB"/>
              </w:rPr>
              <w:t xml:space="preserve"> </w:t>
            </w:r>
            <w:r w:rsidR="00785012" w:rsidRPr="00852214">
              <w:rPr>
                <w:rFonts w:ascii="Times New Roman" w:hAnsi="Times New Roman" w:cs="Times New Roman"/>
                <w:b/>
                <w:bCs/>
                <w:color w:val="000000"/>
                <w:sz w:val="24"/>
                <w:szCs w:val="24"/>
                <w:lang w:eastAsia="en-GB"/>
              </w:rPr>
              <w:t>раунд</w:t>
            </w:r>
          </w:p>
        </w:tc>
        <w:tc>
          <w:tcPr>
            <w:tcW w:w="125" w:type="pct"/>
            <w:tcBorders>
              <w:top w:val="single" w:sz="4" w:space="0" w:color="auto"/>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 </w:t>
            </w:r>
          </w:p>
        </w:tc>
        <w:tc>
          <w:tcPr>
            <w:tcW w:w="808" w:type="pct"/>
            <w:gridSpan w:val="2"/>
            <w:tcBorders>
              <w:top w:val="single" w:sz="4" w:space="0" w:color="auto"/>
              <w:bottom w:val="single" w:sz="4" w:space="0" w:color="auto"/>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2</w:t>
            </w:r>
            <w:r w:rsidR="00785012" w:rsidRPr="00852214">
              <w:rPr>
                <w:rFonts w:ascii="Times New Roman" w:hAnsi="Times New Roman" w:cs="Times New Roman"/>
                <w:b/>
                <w:bCs/>
                <w:color w:val="000000"/>
                <w:sz w:val="24"/>
                <w:szCs w:val="24"/>
                <w:lang w:eastAsia="en-GB"/>
              </w:rPr>
              <w:t>ой</w:t>
            </w:r>
            <w:r w:rsidRPr="00852214">
              <w:rPr>
                <w:rFonts w:ascii="Times New Roman" w:hAnsi="Times New Roman" w:cs="Times New Roman"/>
                <w:b/>
                <w:bCs/>
                <w:color w:val="000000"/>
                <w:sz w:val="24"/>
                <w:szCs w:val="24"/>
                <w:lang w:eastAsia="en-GB"/>
              </w:rPr>
              <w:t xml:space="preserve"> </w:t>
            </w:r>
            <w:r w:rsidR="00785012" w:rsidRPr="00852214">
              <w:rPr>
                <w:rFonts w:ascii="Times New Roman" w:hAnsi="Times New Roman" w:cs="Times New Roman"/>
                <w:b/>
                <w:bCs/>
                <w:color w:val="000000"/>
                <w:sz w:val="24"/>
                <w:szCs w:val="24"/>
                <w:lang w:eastAsia="en-GB"/>
              </w:rPr>
              <w:t>раунд</w:t>
            </w:r>
          </w:p>
        </w:tc>
        <w:tc>
          <w:tcPr>
            <w:tcW w:w="125" w:type="pct"/>
            <w:tcBorders>
              <w:top w:val="nil"/>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tcBorders>
              <w:top w:val="nil"/>
              <w:bottom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r>
      <w:tr w:rsidR="00785012" w:rsidRPr="00852214" w:rsidTr="00EF46C3">
        <w:trPr>
          <w:trHeight w:val="315"/>
        </w:trPr>
        <w:tc>
          <w:tcPr>
            <w:tcW w:w="265" w:type="pct"/>
            <w:tcBorders>
              <w:top w:val="nil"/>
              <w:bottom w:val="nil"/>
            </w:tcBorders>
            <w:shd w:val="clear" w:color="000000" w:fill="FFFFFF"/>
            <w:noWrap/>
            <w:hideMark/>
          </w:tcPr>
          <w:p w:rsidR="00785012" w:rsidRPr="00852214" w:rsidRDefault="0078501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2195" w:type="pct"/>
            <w:tcBorders>
              <w:top w:val="nil"/>
              <w:bottom w:val="nil"/>
            </w:tcBorders>
            <w:shd w:val="clear" w:color="000000" w:fill="FFFFFF"/>
            <w:noWrap/>
            <w:hideMark/>
          </w:tcPr>
          <w:p w:rsidR="00785012" w:rsidRPr="00852214" w:rsidRDefault="0078501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Критерии оценки</w:t>
            </w:r>
          </w:p>
        </w:tc>
        <w:tc>
          <w:tcPr>
            <w:tcW w:w="125" w:type="pct"/>
            <w:tcBorders>
              <w:top w:val="nil"/>
              <w:bottom w:val="nil"/>
            </w:tcBorders>
            <w:shd w:val="clear" w:color="000000" w:fill="FFFFFF"/>
            <w:noWrap/>
            <w:hideMark/>
          </w:tcPr>
          <w:p w:rsidR="00785012" w:rsidRPr="00852214" w:rsidRDefault="0078501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 </w:t>
            </w:r>
          </w:p>
        </w:tc>
        <w:tc>
          <w:tcPr>
            <w:tcW w:w="483" w:type="pct"/>
            <w:tcBorders>
              <w:top w:val="single" w:sz="4" w:space="0" w:color="auto"/>
              <w:bottom w:val="nil"/>
            </w:tcBorders>
            <w:shd w:val="clear" w:color="000000" w:fill="FFFFFF"/>
            <w:hideMark/>
          </w:tcPr>
          <w:p w:rsidR="00785012" w:rsidRPr="00852214" w:rsidRDefault="00785012"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eastAsia="en-GB"/>
              </w:rPr>
              <w:t>Сред.</w:t>
            </w:r>
          </w:p>
        </w:tc>
        <w:tc>
          <w:tcPr>
            <w:tcW w:w="335" w:type="pct"/>
            <w:tcBorders>
              <w:top w:val="single" w:sz="4" w:space="0" w:color="auto"/>
              <w:bottom w:val="nil"/>
            </w:tcBorders>
            <w:shd w:val="clear" w:color="000000" w:fill="FFFFFF"/>
            <w:hideMark/>
          </w:tcPr>
          <w:p w:rsidR="00785012" w:rsidRPr="00852214" w:rsidRDefault="00785012"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eastAsia="en-GB"/>
              </w:rPr>
              <w:t>Стд</w:t>
            </w:r>
            <w:proofErr w:type="spellEnd"/>
            <w:r w:rsidRPr="00852214">
              <w:rPr>
                <w:rFonts w:ascii="Times New Roman" w:hAnsi="Times New Roman" w:cs="Times New Roman"/>
                <w:b/>
                <w:bCs/>
                <w:sz w:val="24"/>
                <w:szCs w:val="24"/>
                <w:lang w:eastAsia="en-GB"/>
              </w:rPr>
              <w:t>.</w:t>
            </w:r>
          </w:p>
        </w:tc>
        <w:tc>
          <w:tcPr>
            <w:tcW w:w="125" w:type="pct"/>
            <w:tcBorders>
              <w:top w:val="nil"/>
              <w:bottom w:val="nil"/>
            </w:tcBorders>
            <w:shd w:val="clear" w:color="000000" w:fill="FFFFFF"/>
            <w:hideMark/>
          </w:tcPr>
          <w:p w:rsidR="00785012" w:rsidRPr="00852214" w:rsidRDefault="00785012"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eastAsia="en-GB"/>
              </w:rPr>
              <w:t> </w:t>
            </w:r>
          </w:p>
        </w:tc>
        <w:tc>
          <w:tcPr>
            <w:tcW w:w="475" w:type="pct"/>
            <w:tcBorders>
              <w:top w:val="nil"/>
              <w:bottom w:val="nil"/>
            </w:tcBorders>
            <w:shd w:val="clear" w:color="000000" w:fill="FFFFFF"/>
            <w:hideMark/>
          </w:tcPr>
          <w:p w:rsidR="00785012" w:rsidRPr="00852214" w:rsidRDefault="00785012"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eastAsia="en-GB"/>
              </w:rPr>
              <w:t>Сред.</w:t>
            </w:r>
          </w:p>
        </w:tc>
        <w:tc>
          <w:tcPr>
            <w:tcW w:w="333" w:type="pct"/>
            <w:tcBorders>
              <w:top w:val="nil"/>
              <w:bottom w:val="nil"/>
            </w:tcBorders>
            <w:shd w:val="clear" w:color="000000" w:fill="FFFFFF"/>
            <w:hideMark/>
          </w:tcPr>
          <w:p w:rsidR="00785012" w:rsidRPr="00852214" w:rsidRDefault="00785012" w:rsidP="00852214">
            <w:pPr>
              <w:tabs>
                <w:tab w:val="center" w:pos="231"/>
              </w:tabs>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eastAsia="en-GB"/>
              </w:rPr>
              <w:t>Стд</w:t>
            </w:r>
            <w:proofErr w:type="spellEnd"/>
          </w:p>
        </w:tc>
        <w:tc>
          <w:tcPr>
            <w:tcW w:w="125" w:type="pct"/>
            <w:tcBorders>
              <w:top w:val="nil"/>
              <w:bottom w:val="nil"/>
            </w:tcBorders>
            <w:shd w:val="clear" w:color="000000" w:fill="FFFFFF"/>
            <w:noWrap/>
            <w:hideMark/>
          </w:tcPr>
          <w:p w:rsidR="00785012" w:rsidRPr="00852214" w:rsidRDefault="0078501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tcBorders>
              <w:top w:val="nil"/>
              <w:bottom w:val="nil"/>
            </w:tcBorders>
            <w:shd w:val="clear" w:color="000000" w:fill="FFFFFF"/>
            <w:noWrap/>
            <w:hideMark/>
          </w:tcPr>
          <w:p w:rsidR="00785012" w:rsidRPr="00852214" w:rsidRDefault="0078501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Веса</w:t>
            </w:r>
          </w:p>
        </w:tc>
      </w:tr>
      <w:tr w:rsidR="00F07DB2" w:rsidRPr="00852214" w:rsidTr="00EF46C3">
        <w:trPr>
          <w:trHeight w:val="315"/>
        </w:trPr>
        <w:tc>
          <w:tcPr>
            <w:tcW w:w="2460" w:type="pct"/>
            <w:gridSpan w:val="2"/>
            <w:tcBorders>
              <w:top w:val="nil"/>
            </w:tcBorders>
            <w:shd w:val="clear" w:color="000000" w:fill="FFFFFF"/>
            <w:noWrap/>
            <w:hideMark/>
          </w:tcPr>
          <w:p w:rsidR="00F07DB2" w:rsidRPr="00852214" w:rsidRDefault="0078501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Рабочие и их организации</w:t>
            </w:r>
          </w:p>
        </w:tc>
        <w:tc>
          <w:tcPr>
            <w:tcW w:w="125" w:type="pct"/>
            <w:tcBorders>
              <w:top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 </w:t>
            </w:r>
          </w:p>
        </w:tc>
        <w:tc>
          <w:tcPr>
            <w:tcW w:w="483" w:type="pct"/>
            <w:tcBorders>
              <w:top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 xml:space="preserve">(1 </w:t>
            </w:r>
            <w:r w:rsidR="00785012" w:rsidRPr="00852214">
              <w:rPr>
                <w:rFonts w:ascii="Times New Roman" w:hAnsi="Times New Roman" w:cs="Times New Roman"/>
                <w:b/>
                <w:bCs/>
                <w:color w:val="000000"/>
                <w:sz w:val="24"/>
                <w:szCs w:val="24"/>
                <w:lang w:eastAsia="en-GB"/>
              </w:rPr>
              <w:t>до</w:t>
            </w:r>
            <w:r w:rsidRPr="00852214">
              <w:rPr>
                <w:rFonts w:ascii="Times New Roman" w:hAnsi="Times New Roman" w:cs="Times New Roman"/>
                <w:b/>
                <w:bCs/>
                <w:color w:val="000000"/>
                <w:sz w:val="24"/>
                <w:szCs w:val="24"/>
                <w:lang w:eastAsia="en-GB"/>
              </w:rPr>
              <w:t xml:space="preserve"> 5)</w:t>
            </w:r>
          </w:p>
        </w:tc>
        <w:tc>
          <w:tcPr>
            <w:tcW w:w="335" w:type="pct"/>
            <w:tcBorders>
              <w:top w:val="nil"/>
            </w:tcBorders>
            <w:shd w:val="clear" w:color="000000" w:fill="FFFFFF"/>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eastAsia="en-GB"/>
              </w:rPr>
              <w:t>Dev</w:t>
            </w:r>
            <w:proofErr w:type="spellEnd"/>
            <w:r w:rsidRPr="00852214">
              <w:rPr>
                <w:rFonts w:ascii="Times New Roman" w:hAnsi="Times New Roman" w:cs="Times New Roman"/>
                <w:b/>
                <w:bCs/>
                <w:sz w:val="24"/>
                <w:szCs w:val="24"/>
                <w:lang w:eastAsia="en-GB"/>
              </w:rPr>
              <w:t>.</w:t>
            </w:r>
          </w:p>
        </w:tc>
        <w:tc>
          <w:tcPr>
            <w:tcW w:w="125" w:type="pct"/>
            <w:tcBorders>
              <w:top w:val="nil"/>
            </w:tcBorders>
            <w:shd w:val="clear" w:color="000000" w:fill="FFFFFF"/>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eastAsia="en-GB"/>
              </w:rPr>
              <w:t> </w:t>
            </w:r>
          </w:p>
        </w:tc>
        <w:tc>
          <w:tcPr>
            <w:tcW w:w="475" w:type="pct"/>
            <w:tcBorders>
              <w:top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 xml:space="preserve">(1 </w:t>
            </w:r>
            <w:r w:rsidR="00785012" w:rsidRPr="00852214">
              <w:rPr>
                <w:rFonts w:ascii="Times New Roman" w:hAnsi="Times New Roman" w:cs="Times New Roman"/>
                <w:b/>
                <w:bCs/>
                <w:color w:val="000000"/>
                <w:sz w:val="24"/>
                <w:szCs w:val="24"/>
                <w:lang w:eastAsia="en-GB"/>
              </w:rPr>
              <w:t>до</w:t>
            </w:r>
            <w:r w:rsidRPr="00852214">
              <w:rPr>
                <w:rFonts w:ascii="Times New Roman" w:hAnsi="Times New Roman" w:cs="Times New Roman"/>
                <w:b/>
                <w:bCs/>
                <w:color w:val="000000"/>
                <w:sz w:val="24"/>
                <w:szCs w:val="24"/>
                <w:lang w:eastAsia="en-GB"/>
              </w:rPr>
              <w:t xml:space="preserve"> 5)</w:t>
            </w:r>
          </w:p>
        </w:tc>
        <w:tc>
          <w:tcPr>
            <w:tcW w:w="333" w:type="pct"/>
            <w:tcBorders>
              <w:top w:val="nil"/>
            </w:tcBorders>
            <w:shd w:val="clear" w:color="000000" w:fill="FFFFFF"/>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eastAsia="en-GB"/>
              </w:rPr>
              <w:t>Dev</w:t>
            </w:r>
            <w:proofErr w:type="spellEnd"/>
            <w:r w:rsidRPr="00852214">
              <w:rPr>
                <w:rFonts w:ascii="Times New Roman" w:hAnsi="Times New Roman" w:cs="Times New Roman"/>
                <w:b/>
                <w:bCs/>
                <w:sz w:val="24"/>
                <w:szCs w:val="24"/>
                <w:lang w:eastAsia="en-GB"/>
              </w:rPr>
              <w:t>.</w:t>
            </w:r>
          </w:p>
        </w:tc>
        <w:tc>
          <w:tcPr>
            <w:tcW w:w="125" w:type="pct"/>
            <w:tcBorders>
              <w:top w:val="nil"/>
            </w:tcBorders>
            <w:shd w:val="clear" w:color="000000" w:fill="FFFFFF"/>
            <w:noWrap/>
            <w:hideMark/>
          </w:tcPr>
          <w:p w:rsidR="00F07DB2" w:rsidRPr="00852214" w:rsidRDefault="00F07DB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 </w:t>
            </w:r>
          </w:p>
        </w:tc>
        <w:tc>
          <w:tcPr>
            <w:tcW w:w="539" w:type="pct"/>
            <w:tcBorders>
              <w:top w:val="nil"/>
            </w:tcBorders>
            <w:shd w:val="clear" w:color="000000" w:fill="FFFFFF"/>
            <w:noWrap/>
            <w:hideMark/>
          </w:tcPr>
          <w:p w:rsidR="00F07DB2" w:rsidRPr="00852214" w:rsidRDefault="00003BD9"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(1 до</w:t>
            </w:r>
            <w:r w:rsidR="00F07DB2" w:rsidRPr="00852214">
              <w:rPr>
                <w:rFonts w:ascii="Times New Roman" w:hAnsi="Times New Roman" w:cs="Times New Roman"/>
                <w:b/>
                <w:bCs/>
                <w:color w:val="000000"/>
                <w:sz w:val="24"/>
                <w:szCs w:val="24"/>
                <w:lang w:eastAsia="en-GB"/>
              </w:rPr>
              <w:t xml:space="preserve"> 2)</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0</w:t>
            </w:r>
          </w:p>
        </w:tc>
        <w:tc>
          <w:tcPr>
            <w:tcW w:w="2195" w:type="pct"/>
            <w:shd w:val="clear" w:color="auto" w:fill="auto"/>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Создание Комиссии по расследованию в соответствии со статьей 26 Устава МОТ</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Н/Д</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Н/Д</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Н/Д</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Н/Д</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2.00</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219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val="en-US" w:eastAsia="en-GB"/>
              </w:rPr>
              <w:t>Ia</w:t>
            </w:r>
            <w:proofErr w:type="spellEnd"/>
            <w:r w:rsidRPr="00852214">
              <w:rPr>
                <w:rFonts w:ascii="Times New Roman" w:hAnsi="Times New Roman" w:cs="Times New Roman"/>
                <w:b/>
                <w:bCs/>
                <w:sz w:val="24"/>
                <w:szCs w:val="24"/>
                <w:lang w:eastAsia="en-GB"/>
              </w:rPr>
              <w:t>. Основные гражданские свободы в законодательстве</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1</w:t>
            </w:r>
          </w:p>
        </w:tc>
        <w:tc>
          <w:tcPr>
            <w:tcW w:w="219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Арест, содержание под стражей, тюремное заключение, обвинение и оговорка профсоюзных активистов в отношении их профсоюзной деятельности</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4.92</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0.27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5.00</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0.00</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2.00</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2</w:t>
            </w:r>
          </w:p>
        </w:tc>
        <w:tc>
          <w:tcPr>
            <w:tcW w:w="219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основных свобод профсоюзных активистов</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4.46</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0.76</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4.71</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0.47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1.93</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3</w:t>
            </w:r>
          </w:p>
        </w:tc>
        <w:tc>
          <w:tcPr>
            <w:tcW w:w="219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права профсоюзов и профсоюзных работников на защиту их помещений и имущества</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3.85</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3.93</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0.62</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1.73</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4</w:t>
            </w:r>
          </w:p>
        </w:tc>
        <w:tc>
          <w:tcPr>
            <w:tcW w:w="219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Чрезмерные запреты/ограничения прав профсоюзов в случае чрезвычайного положения</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3.68</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1.09</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3.64</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1.66</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5</w:t>
            </w:r>
          </w:p>
        </w:tc>
        <w:tc>
          <w:tcPr>
            <w:tcW w:w="219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Отсутствие гарантии надлежащего судебного разбирательства и/или нарушения справедливости. 1-4</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4.23</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0.91</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4.43</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0.65</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1.86</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219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val="en-US" w:eastAsia="en-GB"/>
              </w:rPr>
              <w:t>Ib</w:t>
            </w:r>
            <w:proofErr w:type="spellEnd"/>
            <w:r w:rsidRPr="00852214">
              <w:rPr>
                <w:rFonts w:ascii="Times New Roman" w:hAnsi="Times New Roman" w:cs="Times New Roman"/>
                <w:b/>
                <w:bCs/>
                <w:sz w:val="24"/>
                <w:szCs w:val="24"/>
                <w:lang w:eastAsia="en-GB"/>
              </w:rPr>
              <w:t xml:space="preserve">. Фундаментальные гражданские </w:t>
            </w:r>
            <w:r w:rsidRPr="00852214">
              <w:rPr>
                <w:rFonts w:ascii="Times New Roman" w:hAnsi="Times New Roman" w:cs="Times New Roman"/>
                <w:b/>
                <w:bCs/>
                <w:sz w:val="24"/>
                <w:szCs w:val="24"/>
                <w:lang w:eastAsia="en-GB"/>
              </w:rPr>
              <w:lastRenderedPageBreak/>
              <w:t>свободы на практике</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val="en-US" w:eastAsia="en-GB"/>
              </w:rPr>
              <w:lastRenderedPageBreak/>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lastRenderedPageBreak/>
              <w:t>6</w:t>
            </w:r>
          </w:p>
        </w:tc>
        <w:tc>
          <w:tcPr>
            <w:tcW w:w="219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Убийство или исчезновение профсоюзных активистов в связи с их профсоюзной деятельностью</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5.00</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0.00</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5.00</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0.00</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2.00</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7</w:t>
            </w:r>
          </w:p>
        </w:tc>
        <w:tc>
          <w:tcPr>
            <w:tcW w:w="2195" w:type="pct"/>
            <w:shd w:val="clear" w:color="000000" w:fill="FFFFFF"/>
            <w:hideMark/>
          </w:tcPr>
          <w:p w:rsidR="00EF46C3" w:rsidRPr="00852214" w:rsidRDefault="00FD1DC6"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Приверженность к реорганизации профсоюзных должностных лиц </w:t>
            </w:r>
            <w:r w:rsidR="00EF46C3" w:rsidRPr="00852214">
              <w:rPr>
                <w:rFonts w:ascii="Times New Roman" w:hAnsi="Times New Roman" w:cs="Times New Roman"/>
                <w:sz w:val="24"/>
                <w:szCs w:val="24"/>
                <w:lang w:val="en-US" w:eastAsia="en-GB"/>
              </w:rPr>
              <w:t>no</w:t>
            </w:r>
            <w:r w:rsidR="00EF46C3" w:rsidRPr="00852214">
              <w:rPr>
                <w:rFonts w:ascii="Times New Roman" w:hAnsi="Times New Roman" w:cs="Times New Roman"/>
                <w:sz w:val="24"/>
                <w:szCs w:val="24"/>
                <w:lang w:eastAsia="en-GB"/>
              </w:rPr>
              <w:t>. 6</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4.92</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0.27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5.00</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0.00</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2.00</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8</w:t>
            </w:r>
          </w:p>
        </w:tc>
        <w:tc>
          <w:tcPr>
            <w:tcW w:w="2195" w:type="pct"/>
            <w:shd w:val="clear" w:color="000000" w:fill="FFFFFF"/>
            <w:hideMark/>
          </w:tcPr>
          <w:p w:rsidR="00EF46C3" w:rsidRPr="00852214" w:rsidRDefault="00FD1DC6"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Отсутствие гарантий надлежащего судебного разбирательства и/или восстановления справедливости  </w:t>
            </w:r>
            <w:r w:rsidR="00EF46C3" w:rsidRPr="00852214">
              <w:rPr>
                <w:rFonts w:ascii="Times New Roman" w:hAnsi="Times New Roman" w:cs="Times New Roman"/>
                <w:sz w:val="24"/>
                <w:szCs w:val="24"/>
                <w:lang w:val="en-US" w:eastAsia="en-GB"/>
              </w:rPr>
              <w:t>no</w:t>
            </w:r>
            <w:r w:rsidR="00EF46C3" w:rsidRPr="00852214">
              <w:rPr>
                <w:rFonts w:ascii="Times New Roman" w:hAnsi="Times New Roman" w:cs="Times New Roman"/>
                <w:sz w:val="24"/>
                <w:szCs w:val="24"/>
                <w:lang w:eastAsia="en-GB"/>
              </w:rPr>
              <w:t>.6</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4.39</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0.76</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4.57</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0.51</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1.89</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9</w:t>
            </w:r>
          </w:p>
        </w:tc>
        <w:tc>
          <w:tcPr>
            <w:tcW w:w="2195" w:type="pct"/>
            <w:shd w:val="clear" w:color="000000" w:fill="FFFFFF"/>
            <w:hideMark/>
          </w:tcPr>
          <w:p w:rsidR="00EF46C3" w:rsidRPr="00852214" w:rsidRDefault="00FD1DC6"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Други</w:t>
            </w:r>
            <w:r w:rsidR="00203733" w:rsidRPr="00852214">
              <w:rPr>
                <w:rFonts w:ascii="Times New Roman" w:hAnsi="Times New Roman" w:cs="Times New Roman"/>
                <w:sz w:val="24"/>
                <w:szCs w:val="24"/>
                <w:lang w:eastAsia="en-GB"/>
              </w:rPr>
              <w:t>е</w:t>
            </w:r>
            <w:r w:rsidRPr="00852214">
              <w:rPr>
                <w:rFonts w:ascii="Times New Roman" w:hAnsi="Times New Roman" w:cs="Times New Roman"/>
                <w:sz w:val="24"/>
                <w:szCs w:val="24"/>
                <w:lang w:eastAsia="en-GB"/>
              </w:rPr>
              <w:t xml:space="preserve"> насильственны</w:t>
            </w:r>
            <w:r w:rsidR="00203733" w:rsidRPr="00852214">
              <w:rPr>
                <w:rFonts w:ascii="Times New Roman" w:hAnsi="Times New Roman" w:cs="Times New Roman"/>
                <w:sz w:val="24"/>
                <w:szCs w:val="24"/>
                <w:lang w:eastAsia="en-GB"/>
              </w:rPr>
              <w:t>е</w:t>
            </w:r>
            <w:r w:rsidRPr="00852214">
              <w:rPr>
                <w:rFonts w:ascii="Times New Roman" w:hAnsi="Times New Roman" w:cs="Times New Roman"/>
                <w:sz w:val="24"/>
                <w:szCs w:val="24"/>
                <w:lang w:eastAsia="en-GB"/>
              </w:rPr>
              <w:t xml:space="preserve"> действи</w:t>
            </w:r>
            <w:r w:rsidR="00203733" w:rsidRPr="00852214">
              <w:rPr>
                <w:rFonts w:ascii="Times New Roman" w:hAnsi="Times New Roman" w:cs="Times New Roman"/>
                <w:sz w:val="24"/>
                <w:szCs w:val="24"/>
                <w:lang w:eastAsia="en-GB"/>
              </w:rPr>
              <w:t>я</w:t>
            </w:r>
            <w:r w:rsidRPr="00852214">
              <w:rPr>
                <w:rFonts w:ascii="Times New Roman" w:hAnsi="Times New Roman" w:cs="Times New Roman"/>
                <w:sz w:val="24"/>
                <w:szCs w:val="24"/>
                <w:lang w:eastAsia="en-GB"/>
              </w:rPr>
              <w:t xml:space="preserve"> в отношении профсоюзных активистов в связи с их профсоюзной деятельностью</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4.16</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0.70</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4.29</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0.47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1.82</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10</w:t>
            </w:r>
          </w:p>
        </w:tc>
        <w:tc>
          <w:tcPr>
            <w:tcW w:w="2195" w:type="pct"/>
            <w:shd w:val="clear" w:color="000000" w:fill="FFFFFF"/>
            <w:hideMark/>
          </w:tcPr>
          <w:p w:rsidR="00EF46C3" w:rsidRPr="00852214" w:rsidRDefault="00FD1DC6"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Приверженность к реорганизации профсоюзных должностных лиц </w:t>
            </w:r>
            <w:r w:rsidR="00EF46C3" w:rsidRPr="00852214">
              <w:rPr>
                <w:rFonts w:ascii="Times New Roman" w:hAnsi="Times New Roman" w:cs="Times New Roman"/>
                <w:sz w:val="24"/>
                <w:szCs w:val="24"/>
                <w:lang w:val="en-US" w:eastAsia="en-GB"/>
              </w:rPr>
              <w:t>no</w:t>
            </w:r>
            <w:r w:rsidR="00EF46C3" w:rsidRPr="00852214">
              <w:rPr>
                <w:rFonts w:ascii="Times New Roman" w:hAnsi="Times New Roman" w:cs="Times New Roman"/>
                <w:sz w:val="24"/>
                <w:szCs w:val="24"/>
                <w:lang w:eastAsia="en-GB"/>
              </w:rPr>
              <w:t>.9</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4.16</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0.70</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4.29</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0.47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1.82</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11</w:t>
            </w:r>
          </w:p>
        </w:tc>
        <w:tc>
          <w:tcPr>
            <w:tcW w:w="2195" w:type="pct"/>
            <w:shd w:val="clear" w:color="000000" w:fill="FFFFFF"/>
            <w:hideMark/>
          </w:tcPr>
          <w:p w:rsidR="00EF46C3" w:rsidRPr="00852214" w:rsidRDefault="00FD1DC6"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Отсутствие гарантии надлежащего судебного разбирательства и/или нарушения справедливости  </w:t>
            </w:r>
            <w:r w:rsidR="00EF46C3" w:rsidRPr="00852214">
              <w:rPr>
                <w:rFonts w:ascii="Times New Roman" w:hAnsi="Times New Roman" w:cs="Times New Roman"/>
                <w:sz w:val="24"/>
                <w:szCs w:val="24"/>
                <w:lang w:val="en-US" w:eastAsia="en-GB"/>
              </w:rPr>
              <w:t>no</w:t>
            </w:r>
            <w:r w:rsidR="00EF46C3" w:rsidRPr="00852214">
              <w:rPr>
                <w:rFonts w:ascii="Times New Roman" w:hAnsi="Times New Roman" w:cs="Times New Roman"/>
                <w:sz w:val="24"/>
                <w:szCs w:val="24"/>
                <w:lang w:eastAsia="en-GB"/>
              </w:rPr>
              <w:t>.9</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4.01</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4.36</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0.50</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1.84</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12</w:t>
            </w:r>
          </w:p>
        </w:tc>
        <w:tc>
          <w:tcPr>
            <w:tcW w:w="2195" w:type="pct"/>
            <w:shd w:val="clear" w:color="000000" w:fill="FFFFFF"/>
            <w:hideMark/>
          </w:tcPr>
          <w:p w:rsidR="00EF46C3" w:rsidRPr="00852214" w:rsidRDefault="00FD1DC6"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Арест, задержание, лишение свободы, предъявление обвинений и штрафов профсоюзным деятелям в связи с их профсоюзной деятельностью</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4.62</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4.79</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0.43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1.95</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13</w:t>
            </w:r>
          </w:p>
        </w:tc>
        <w:tc>
          <w:tcPr>
            <w:tcW w:w="2195" w:type="pct"/>
            <w:shd w:val="clear" w:color="000000" w:fill="FFFFFF"/>
            <w:hideMark/>
          </w:tcPr>
          <w:p w:rsidR="00EF46C3" w:rsidRPr="00852214" w:rsidRDefault="00FD1DC6"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Приверженность к реорганизации профсоюзных должностных лиц  </w:t>
            </w:r>
            <w:r w:rsidR="00EF46C3" w:rsidRPr="00852214">
              <w:rPr>
                <w:rFonts w:ascii="Times New Roman" w:hAnsi="Times New Roman" w:cs="Times New Roman"/>
                <w:sz w:val="24"/>
                <w:szCs w:val="24"/>
                <w:lang w:val="en-US" w:eastAsia="en-GB"/>
              </w:rPr>
              <w:t>no</w:t>
            </w:r>
            <w:r w:rsidR="00EF46C3" w:rsidRPr="00852214">
              <w:rPr>
                <w:rFonts w:ascii="Times New Roman" w:hAnsi="Times New Roman" w:cs="Times New Roman"/>
                <w:sz w:val="24"/>
                <w:szCs w:val="24"/>
                <w:lang w:eastAsia="en-GB"/>
              </w:rPr>
              <w:t>.12</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4.54</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0.76</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4.79</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0.43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1.95</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14</w:t>
            </w:r>
          </w:p>
        </w:tc>
        <w:tc>
          <w:tcPr>
            <w:tcW w:w="2195" w:type="pct"/>
            <w:shd w:val="clear" w:color="000000" w:fill="FFFFFF"/>
            <w:hideMark/>
          </w:tcPr>
          <w:p w:rsidR="00EF46C3" w:rsidRPr="00852214" w:rsidRDefault="00FD1DC6"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Отсутствие гарантии надлежащего судебного разбирательства и/или нарушения справедливости </w:t>
            </w:r>
            <w:r w:rsidR="00EF46C3" w:rsidRPr="00852214">
              <w:rPr>
                <w:rFonts w:ascii="Times New Roman" w:hAnsi="Times New Roman" w:cs="Times New Roman"/>
                <w:sz w:val="24"/>
                <w:szCs w:val="24"/>
                <w:lang w:val="en-US" w:eastAsia="en-GB"/>
              </w:rPr>
              <w:t>no</w:t>
            </w:r>
            <w:r w:rsidR="00EF46C3" w:rsidRPr="00852214">
              <w:rPr>
                <w:rFonts w:ascii="Times New Roman" w:hAnsi="Times New Roman" w:cs="Times New Roman"/>
                <w:sz w:val="24"/>
                <w:szCs w:val="24"/>
                <w:lang w:eastAsia="en-GB"/>
              </w:rPr>
              <w:t>.12</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4.23</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4.50</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0.52</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1.88</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15</w:t>
            </w:r>
          </w:p>
        </w:tc>
        <w:tc>
          <w:tcPr>
            <w:tcW w:w="2195" w:type="pct"/>
            <w:shd w:val="clear" w:color="000000" w:fill="FFFFFF"/>
            <w:hideMark/>
          </w:tcPr>
          <w:p w:rsidR="00EF46C3" w:rsidRPr="00852214" w:rsidRDefault="00FD1DC6" w:rsidP="00852214">
            <w:pPr>
              <w:spacing w:before="100" w:beforeAutospacing="1" w:after="100" w:afterAutospacing="1" w:line="276" w:lineRule="auto"/>
              <w:jc w:val="both"/>
              <w:rPr>
                <w:rFonts w:ascii="Times New Roman" w:hAnsi="Times New Roman" w:cs="Times New Roman"/>
                <w:sz w:val="24"/>
                <w:szCs w:val="24"/>
                <w:lang w:val="en-US" w:eastAsia="en-GB"/>
              </w:rPr>
            </w:pPr>
            <w:proofErr w:type="spellStart"/>
            <w:r w:rsidRPr="00852214">
              <w:rPr>
                <w:rFonts w:ascii="Times New Roman" w:hAnsi="Times New Roman" w:cs="Times New Roman"/>
                <w:sz w:val="24"/>
                <w:szCs w:val="24"/>
                <w:lang w:val="en-US" w:eastAsia="en-GB"/>
              </w:rPr>
              <w:t>Нарушения</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основных</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свобод</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профсоюзов</w:t>
            </w:r>
            <w:proofErr w:type="spellEnd"/>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val="en-US"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4.23</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4.29</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0.47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1.82</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16</w:t>
            </w:r>
          </w:p>
        </w:tc>
        <w:tc>
          <w:tcPr>
            <w:tcW w:w="2195" w:type="pct"/>
            <w:shd w:val="clear" w:color="000000" w:fill="FFFFFF"/>
            <w:hideMark/>
          </w:tcPr>
          <w:p w:rsidR="00EF46C3" w:rsidRPr="00852214" w:rsidRDefault="00FD1DC6"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Приверженность к реорганизации профсоюзных должностных лиц </w:t>
            </w:r>
            <w:r w:rsidR="00EF46C3" w:rsidRPr="00852214">
              <w:rPr>
                <w:rFonts w:ascii="Times New Roman" w:hAnsi="Times New Roman" w:cs="Times New Roman"/>
                <w:sz w:val="24"/>
                <w:szCs w:val="24"/>
                <w:lang w:val="en-US" w:eastAsia="en-GB"/>
              </w:rPr>
              <w:t>no</w:t>
            </w:r>
            <w:r w:rsidR="00EF46C3" w:rsidRPr="00852214">
              <w:rPr>
                <w:rFonts w:ascii="Times New Roman" w:hAnsi="Times New Roman" w:cs="Times New Roman"/>
                <w:sz w:val="24"/>
                <w:szCs w:val="24"/>
                <w:lang w:eastAsia="en-GB"/>
              </w:rPr>
              <w:t>.15</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4.23</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4.29</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0.61</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1.82</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17</w:t>
            </w:r>
          </w:p>
        </w:tc>
        <w:tc>
          <w:tcPr>
            <w:tcW w:w="2195" w:type="pct"/>
            <w:shd w:val="clear" w:color="000000" w:fill="FFFFFF"/>
            <w:hideMark/>
          </w:tcPr>
          <w:p w:rsidR="00EF46C3" w:rsidRPr="00852214" w:rsidRDefault="00FD1DC6"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Отсутствие гарантии надлежащего судебного разбирательства и/или нарушения справедливости </w:t>
            </w:r>
            <w:r w:rsidR="00EF46C3" w:rsidRPr="00852214">
              <w:rPr>
                <w:rFonts w:ascii="Times New Roman" w:hAnsi="Times New Roman" w:cs="Times New Roman"/>
                <w:sz w:val="24"/>
                <w:szCs w:val="24"/>
                <w:lang w:val="en-US" w:eastAsia="en-GB"/>
              </w:rPr>
              <w:t>no</w:t>
            </w:r>
            <w:r w:rsidR="00EF46C3" w:rsidRPr="00852214">
              <w:rPr>
                <w:rFonts w:ascii="Times New Roman" w:hAnsi="Times New Roman" w:cs="Times New Roman"/>
                <w:sz w:val="24"/>
                <w:szCs w:val="24"/>
                <w:lang w:eastAsia="en-GB"/>
              </w:rPr>
              <w:t>.15</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4.16</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0.89</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4.50</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0.52</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1.88</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18</w:t>
            </w:r>
          </w:p>
        </w:tc>
        <w:tc>
          <w:tcPr>
            <w:tcW w:w="2195" w:type="pct"/>
            <w:shd w:val="clear" w:color="000000" w:fill="FFFFFF"/>
            <w:hideMark/>
          </w:tcPr>
          <w:p w:rsidR="00EF46C3" w:rsidRPr="00852214" w:rsidRDefault="00FD1DC6"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Нападения на помещения и имущество профсоюзов и профсоюзных активистов</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4.01</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0.62</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4.07</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0.47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1.77</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19</w:t>
            </w:r>
          </w:p>
        </w:tc>
        <w:tc>
          <w:tcPr>
            <w:tcW w:w="2195" w:type="pct"/>
            <w:shd w:val="clear" w:color="000000" w:fill="FFFFFF"/>
            <w:hideMark/>
          </w:tcPr>
          <w:p w:rsidR="00EF46C3" w:rsidRPr="00852214" w:rsidRDefault="00FD1DC6"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Приверженность к реорганизации профсоюзных должностных лиц</w:t>
            </w:r>
            <w:r w:rsidR="00EF46C3" w:rsidRPr="00852214">
              <w:rPr>
                <w:rFonts w:ascii="Times New Roman" w:hAnsi="Times New Roman" w:cs="Times New Roman"/>
                <w:sz w:val="24"/>
                <w:szCs w:val="24"/>
                <w:lang w:eastAsia="en-GB"/>
              </w:rPr>
              <w:t xml:space="preserve"> </w:t>
            </w:r>
            <w:r w:rsidR="00EF46C3" w:rsidRPr="00852214">
              <w:rPr>
                <w:rFonts w:ascii="Times New Roman" w:hAnsi="Times New Roman" w:cs="Times New Roman"/>
                <w:sz w:val="24"/>
                <w:szCs w:val="24"/>
                <w:lang w:val="en-US" w:eastAsia="en-GB"/>
              </w:rPr>
              <w:t>no</w:t>
            </w:r>
            <w:r w:rsidR="00EF46C3" w:rsidRPr="00852214">
              <w:rPr>
                <w:rFonts w:ascii="Times New Roman" w:hAnsi="Times New Roman" w:cs="Times New Roman"/>
                <w:sz w:val="24"/>
                <w:szCs w:val="24"/>
                <w:lang w:eastAsia="en-GB"/>
              </w:rPr>
              <w:t>.18</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4.01</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0.62</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4.07</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0.47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1.77</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20</w:t>
            </w:r>
          </w:p>
        </w:tc>
        <w:tc>
          <w:tcPr>
            <w:tcW w:w="2195" w:type="pct"/>
            <w:shd w:val="clear" w:color="000000" w:fill="FFFFFF"/>
            <w:hideMark/>
          </w:tcPr>
          <w:p w:rsidR="00EF46C3" w:rsidRPr="00852214" w:rsidRDefault="00FD1DC6"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Отсутствие гарантии надлежащего судебного разбирательства и/или нарушения справедливости</w:t>
            </w:r>
            <w:r w:rsidR="00EF46C3" w:rsidRPr="00852214">
              <w:rPr>
                <w:rFonts w:ascii="Times New Roman" w:hAnsi="Times New Roman" w:cs="Times New Roman"/>
                <w:sz w:val="24"/>
                <w:szCs w:val="24"/>
                <w:lang w:eastAsia="en-GB"/>
              </w:rPr>
              <w:t xml:space="preserve"> </w:t>
            </w:r>
            <w:r w:rsidR="00EF46C3" w:rsidRPr="00852214">
              <w:rPr>
                <w:rFonts w:ascii="Times New Roman" w:hAnsi="Times New Roman" w:cs="Times New Roman"/>
                <w:sz w:val="24"/>
                <w:szCs w:val="24"/>
                <w:lang w:val="en-US" w:eastAsia="en-GB"/>
              </w:rPr>
              <w:t>no</w:t>
            </w:r>
            <w:r w:rsidR="00EF46C3" w:rsidRPr="00852214">
              <w:rPr>
                <w:rFonts w:ascii="Times New Roman" w:hAnsi="Times New Roman" w:cs="Times New Roman"/>
                <w:sz w:val="24"/>
                <w:szCs w:val="24"/>
                <w:lang w:eastAsia="en-GB"/>
              </w:rPr>
              <w:t>.18</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4.08</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4.07</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0.62</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1.77</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21</w:t>
            </w:r>
          </w:p>
        </w:tc>
        <w:tc>
          <w:tcPr>
            <w:tcW w:w="2195" w:type="pct"/>
            <w:shd w:val="clear" w:color="000000" w:fill="FFFFFF"/>
            <w:hideMark/>
          </w:tcPr>
          <w:p w:rsidR="00EF46C3" w:rsidRPr="00852214" w:rsidRDefault="00FD1DC6"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Чрезмерные запреты/ограничения профсоюзных прав в случае чрезвычайного положения</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3.68</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1.02</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3.79</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0.43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1.70</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22</w:t>
            </w:r>
          </w:p>
        </w:tc>
        <w:tc>
          <w:tcPr>
            <w:tcW w:w="2195" w:type="pct"/>
            <w:shd w:val="clear" w:color="000000" w:fill="FFFFFF"/>
            <w:hideMark/>
          </w:tcPr>
          <w:p w:rsidR="00EF46C3" w:rsidRPr="00852214" w:rsidRDefault="00FD1DC6"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Отсутствие гарантии надлежащего </w:t>
            </w:r>
            <w:r w:rsidRPr="00852214">
              <w:rPr>
                <w:rFonts w:ascii="Times New Roman" w:hAnsi="Times New Roman" w:cs="Times New Roman"/>
                <w:sz w:val="24"/>
                <w:szCs w:val="24"/>
                <w:lang w:eastAsia="en-GB"/>
              </w:rPr>
              <w:lastRenderedPageBreak/>
              <w:t>судебного разбирательства и/или нарушения справедливости</w:t>
            </w:r>
            <w:r w:rsidR="00EF46C3" w:rsidRPr="00852214">
              <w:rPr>
                <w:rFonts w:ascii="Times New Roman" w:hAnsi="Times New Roman" w:cs="Times New Roman"/>
                <w:sz w:val="24"/>
                <w:szCs w:val="24"/>
                <w:lang w:eastAsia="en-GB"/>
              </w:rPr>
              <w:t xml:space="preserve"> </w:t>
            </w:r>
            <w:r w:rsidR="00EF46C3" w:rsidRPr="00852214">
              <w:rPr>
                <w:rFonts w:ascii="Times New Roman" w:hAnsi="Times New Roman" w:cs="Times New Roman"/>
                <w:sz w:val="24"/>
                <w:szCs w:val="24"/>
                <w:lang w:val="en-US" w:eastAsia="en-GB"/>
              </w:rPr>
              <w:t>no</w:t>
            </w:r>
            <w:r w:rsidR="00EF46C3" w:rsidRPr="00852214">
              <w:rPr>
                <w:rFonts w:ascii="Times New Roman" w:hAnsi="Times New Roman" w:cs="Times New Roman"/>
                <w:sz w:val="24"/>
                <w:szCs w:val="24"/>
                <w:lang w:eastAsia="en-GB"/>
              </w:rPr>
              <w:t>.21</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lastRenderedPageBreak/>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3.85</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1.07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3.93</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0.62</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1.73</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lastRenderedPageBreak/>
              <w:t> </w:t>
            </w:r>
          </w:p>
        </w:tc>
        <w:tc>
          <w:tcPr>
            <w:tcW w:w="219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val="en-US" w:eastAsia="en-GB"/>
              </w:rPr>
              <w:t>IIa</w:t>
            </w:r>
            <w:proofErr w:type="spellEnd"/>
            <w:r w:rsidRPr="00852214">
              <w:rPr>
                <w:rFonts w:ascii="Times New Roman" w:hAnsi="Times New Roman" w:cs="Times New Roman"/>
                <w:b/>
                <w:bCs/>
                <w:sz w:val="24"/>
                <w:szCs w:val="24"/>
                <w:lang w:eastAsia="en-GB"/>
              </w:rPr>
              <w:t xml:space="preserve">. </w:t>
            </w:r>
            <w:r w:rsidR="00E9620B" w:rsidRPr="00852214">
              <w:rPr>
                <w:rFonts w:ascii="Times New Roman" w:hAnsi="Times New Roman" w:cs="Times New Roman"/>
                <w:b/>
                <w:bCs/>
                <w:sz w:val="24"/>
                <w:szCs w:val="24"/>
                <w:lang w:eastAsia="en-GB"/>
              </w:rPr>
              <w:t>Право трудящихся создавать юридические организации и вступать в них</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23</w:t>
            </w:r>
          </w:p>
        </w:tc>
        <w:tc>
          <w:tcPr>
            <w:tcW w:w="2195" w:type="pct"/>
            <w:shd w:val="clear" w:color="000000" w:fill="FFFFFF"/>
            <w:hideMark/>
          </w:tcPr>
          <w:p w:rsidR="00EF46C3" w:rsidRPr="00852214" w:rsidRDefault="00E9620B"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Общий запрет на право создавать и вступать в организации</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4.77</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0.43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4.86</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0.36</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1.96</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24</w:t>
            </w:r>
          </w:p>
        </w:tc>
        <w:tc>
          <w:tcPr>
            <w:tcW w:w="2195" w:type="pct"/>
            <w:shd w:val="clear" w:color="000000" w:fill="FFFFFF"/>
            <w:hideMark/>
          </w:tcPr>
          <w:p w:rsidR="00EF46C3" w:rsidRPr="00852214" w:rsidRDefault="00E9620B"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Лишение трудящихся права создавать организации и вступать в них</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4.23</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4.43</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0.51</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1.86</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25</w:t>
            </w:r>
          </w:p>
        </w:tc>
        <w:tc>
          <w:tcPr>
            <w:tcW w:w="2195" w:type="pct"/>
            <w:shd w:val="clear" w:color="000000" w:fill="FFFFFF"/>
            <w:hideMark/>
          </w:tcPr>
          <w:p w:rsidR="00EF46C3" w:rsidRPr="00852214" w:rsidRDefault="00E9620B"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Предыдущие требования к авторизации</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3.38</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3.50</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0.65</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1.63</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26</w:t>
            </w:r>
          </w:p>
        </w:tc>
        <w:tc>
          <w:tcPr>
            <w:tcW w:w="2195" w:type="pct"/>
            <w:shd w:val="clear" w:color="000000" w:fill="FFFFFF"/>
            <w:hideMark/>
          </w:tcPr>
          <w:p w:rsidR="00EF46C3" w:rsidRPr="00852214" w:rsidRDefault="00E9620B"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Ограничения свободы выбора структуры и состава профсоюзов</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3.46</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0.76</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3.50</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0.65</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1.63</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27</w:t>
            </w:r>
          </w:p>
        </w:tc>
        <w:tc>
          <w:tcPr>
            <w:tcW w:w="2195" w:type="pct"/>
            <w:shd w:val="clear" w:color="000000" w:fill="FFFFFF"/>
            <w:hideMark/>
          </w:tcPr>
          <w:p w:rsidR="00EF46C3" w:rsidRPr="00852214" w:rsidRDefault="00E9620B"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Навязывание профсоюзного единства</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3.83</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3.71</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0.61</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1.68</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28</w:t>
            </w:r>
          </w:p>
        </w:tc>
        <w:tc>
          <w:tcPr>
            <w:tcW w:w="2195" w:type="pct"/>
            <w:shd w:val="clear" w:color="000000" w:fill="FFFFFF"/>
            <w:hideMark/>
          </w:tcPr>
          <w:p w:rsidR="00EF46C3" w:rsidRPr="00852214" w:rsidRDefault="00E9620B"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Расторжение/приостановление деятельности юридически функционирующих организаций</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4.45</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0.74</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4.57</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0.51</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1.89</w:t>
            </w:r>
          </w:p>
        </w:tc>
      </w:tr>
      <w:tr w:rsidR="00EF46C3" w:rsidRPr="00852214" w:rsidTr="00EF46C3">
        <w:trPr>
          <w:trHeight w:val="510"/>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29</w:t>
            </w:r>
          </w:p>
        </w:tc>
        <w:tc>
          <w:tcPr>
            <w:tcW w:w="2195" w:type="pct"/>
            <w:shd w:val="clear" w:color="000000" w:fill="FFFFFF"/>
            <w:hideMark/>
          </w:tcPr>
          <w:p w:rsidR="00EF46C3" w:rsidRPr="00852214" w:rsidRDefault="00B74B34"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Положения закона, допускающие принятие </w:t>
            </w:r>
            <w:proofErr w:type="spellStart"/>
            <w:r w:rsidRPr="00852214">
              <w:rPr>
                <w:rFonts w:ascii="Times New Roman" w:hAnsi="Times New Roman" w:cs="Times New Roman"/>
                <w:sz w:val="24"/>
                <w:szCs w:val="24"/>
                <w:lang w:eastAsia="en-GB"/>
              </w:rPr>
              <w:t>антисоюзных</w:t>
            </w:r>
            <w:proofErr w:type="spellEnd"/>
            <w:r w:rsidRPr="00852214">
              <w:rPr>
                <w:rFonts w:ascii="Times New Roman" w:hAnsi="Times New Roman" w:cs="Times New Roman"/>
                <w:sz w:val="24"/>
                <w:szCs w:val="24"/>
                <w:lang w:eastAsia="en-GB"/>
              </w:rPr>
              <w:t xml:space="preserve"> дискриминационных мер в отношении найма на работу, во время работы (например, перевод и понижение в должности) и увольнения</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4.62</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0.74</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4.71</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0.61</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1.93</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30</w:t>
            </w:r>
          </w:p>
        </w:tc>
        <w:tc>
          <w:tcPr>
            <w:tcW w:w="2195" w:type="pct"/>
            <w:shd w:val="clear" w:color="000000" w:fill="FFFFFF"/>
            <w:hideMark/>
          </w:tcPr>
          <w:p w:rsidR="00EF46C3" w:rsidRPr="00852214" w:rsidRDefault="00B74B34"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Отсутствие адекватных правовых гарантий против анти-профсоюзной дискриминации</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3.85</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1.07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4.00</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0.55</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1.75</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31</w:t>
            </w:r>
          </w:p>
        </w:tc>
        <w:tc>
          <w:tcPr>
            <w:tcW w:w="2195" w:type="pct"/>
            <w:shd w:val="clear" w:color="000000" w:fill="FFFFFF"/>
            <w:hideMark/>
          </w:tcPr>
          <w:p w:rsidR="00EF46C3" w:rsidRPr="00852214" w:rsidRDefault="00B74B34"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Положения законодательства, допускающие вмешательство работодателей и/или государственных органов</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4.08</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4.21</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0.70</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1.80</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32</w:t>
            </w:r>
          </w:p>
        </w:tc>
        <w:tc>
          <w:tcPr>
            <w:tcW w:w="2195" w:type="pct"/>
            <w:shd w:val="clear" w:color="000000" w:fill="FFFFFF"/>
            <w:hideMark/>
          </w:tcPr>
          <w:p w:rsidR="00EF46C3" w:rsidRPr="00852214" w:rsidRDefault="00B74B34"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Отсутствие адекватных правовых гарантий против вмешательства</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3.62</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1.01</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3.79</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0.70</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1.70</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33</w:t>
            </w:r>
          </w:p>
        </w:tc>
        <w:tc>
          <w:tcPr>
            <w:tcW w:w="2195" w:type="pct"/>
            <w:shd w:val="clear" w:color="000000" w:fill="FFFFFF"/>
            <w:hideMark/>
          </w:tcPr>
          <w:p w:rsidR="00EF46C3" w:rsidRPr="00852214" w:rsidRDefault="00B74B34"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права создавать федерации/конфедерации/международные организации и вступать в них</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3.85</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3.93</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1.73</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34</w:t>
            </w:r>
          </w:p>
        </w:tc>
        <w:tc>
          <w:tcPr>
            <w:tcW w:w="2195" w:type="pct"/>
            <w:shd w:val="clear" w:color="000000" w:fill="FFFFFF"/>
            <w:hideMark/>
          </w:tcPr>
          <w:p w:rsidR="00EF46C3" w:rsidRPr="00852214" w:rsidRDefault="00B74B34"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Отсутствие гарантии надлежащего судебного разбирательства и/или нарушения справедливости </w:t>
            </w:r>
            <w:proofErr w:type="spellStart"/>
            <w:r w:rsidR="00EF46C3" w:rsidRPr="00852214">
              <w:rPr>
                <w:rFonts w:ascii="Times New Roman" w:hAnsi="Times New Roman" w:cs="Times New Roman"/>
                <w:sz w:val="24"/>
                <w:szCs w:val="24"/>
                <w:lang w:val="en-US" w:eastAsia="en-GB"/>
              </w:rPr>
              <w:t>nos</w:t>
            </w:r>
            <w:proofErr w:type="spellEnd"/>
            <w:r w:rsidR="00EF46C3" w:rsidRPr="00852214">
              <w:rPr>
                <w:rFonts w:ascii="Times New Roman" w:hAnsi="Times New Roman" w:cs="Times New Roman"/>
                <w:sz w:val="24"/>
                <w:szCs w:val="24"/>
                <w:lang w:eastAsia="en-GB"/>
              </w:rPr>
              <w:t>. 23-33</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3.93</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1.11</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4.21</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0.58</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1.80</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219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val="en-US" w:eastAsia="en-GB"/>
              </w:rPr>
              <w:t>IIb</w:t>
            </w:r>
            <w:proofErr w:type="spellEnd"/>
            <w:r w:rsidRPr="00852214">
              <w:rPr>
                <w:rFonts w:ascii="Times New Roman" w:hAnsi="Times New Roman" w:cs="Times New Roman"/>
                <w:b/>
                <w:bCs/>
                <w:sz w:val="24"/>
                <w:szCs w:val="24"/>
                <w:lang w:eastAsia="en-GB"/>
              </w:rPr>
              <w:t xml:space="preserve">. </w:t>
            </w:r>
            <w:r w:rsidR="00B74B34" w:rsidRPr="00852214">
              <w:rPr>
                <w:rFonts w:ascii="Times New Roman" w:hAnsi="Times New Roman" w:cs="Times New Roman"/>
                <w:b/>
                <w:bCs/>
                <w:sz w:val="24"/>
                <w:szCs w:val="24"/>
                <w:lang w:eastAsia="en-GB"/>
              </w:rPr>
              <w:t>Право работников на создание и объединение организаций на практике</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35</w:t>
            </w:r>
          </w:p>
        </w:tc>
        <w:tc>
          <w:tcPr>
            <w:tcW w:w="2195" w:type="pct"/>
            <w:shd w:val="clear" w:color="000000" w:fill="FFFFFF"/>
            <w:hideMark/>
          </w:tcPr>
          <w:p w:rsidR="00EF46C3" w:rsidRPr="00852214" w:rsidRDefault="00D62A69"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Общий запрет на развитие независимых рабочих организаций</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4.54</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0.65</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4.71</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0.61</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1.93</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36</w:t>
            </w:r>
          </w:p>
        </w:tc>
        <w:tc>
          <w:tcPr>
            <w:tcW w:w="2195" w:type="pct"/>
            <w:shd w:val="clear" w:color="000000" w:fill="FFFFFF"/>
            <w:hideMark/>
          </w:tcPr>
          <w:p w:rsidR="00EF46C3" w:rsidRPr="00852214" w:rsidRDefault="00D62A69"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Исключение работников из права на создание и объединение организаций</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4.39</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0.51</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4.43</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0.51</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1.86</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37</w:t>
            </w:r>
          </w:p>
        </w:tc>
        <w:tc>
          <w:tcPr>
            <w:tcW w:w="2195" w:type="pct"/>
            <w:shd w:val="clear" w:color="000000" w:fill="FFFFFF"/>
            <w:hideMark/>
          </w:tcPr>
          <w:p w:rsidR="00EF46C3" w:rsidRPr="00852214" w:rsidRDefault="00D62A69"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Предыдущие требования к авторизации</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3.77</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0.70</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3.79</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0.43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1.70</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lastRenderedPageBreak/>
              <w:t>38</w:t>
            </w:r>
          </w:p>
        </w:tc>
        <w:tc>
          <w:tcPr>
            <w:tcW w:w="2195" w:type="pct"/>
            <w:shd w:val="clear" w:color="000000" w:fill="FFFFFF"/>
            <w:hideMark/>
          </w:tcPr>
          <w:p w:rsidR="00EF46C3" w:rsidRPr="00852214" w:rsidRDefault="00D62A69"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Ограничения свободы выбора профсоюзной структуры и состава</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3.62</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0.74</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3.79</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0.58</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1.70</w:t>
            </w:r>
          </w:p>
        </w:tc>
      </w:tr>
      <w:tr w:rsidR="00D62A69" w:rsidRPr="00852214" w:rsidTr="00EF46C3">
        <w:trPr>
          <w:trHeight w:val="255"/>
        </w:trPr>
        <w:tc>
          <w:tcPr>
            <w:tcW w:w="265" w:type="pct"/>
            <w:shd w:val="clear" w:color="000000" w:fill="FFFFFF"/>
            <w:noWrap/>
            <w:hideMark/>
          </w:tcPr>
          <w:p w:rsidR="00D62A69" w:rsidRPr="00852214" w:rsidRDefault="00D62A69"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39</w:t>
            </w:r>
          </w:p>
        </w:tc>
        <w:tc>
          <w:tcPr>
            <w:tcW w:w="2195" w:type="pct"/>
            <w:shd w:val="clear" w:color="000000" w:fill="FFFFFF"/>
            <w:hideMark/>
          </w:tcPr>
          <w:p w:rsidR="00D62A69" w:rsidRPr="00852214" w:rsidRDefault="00D62A69"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Навязывание профсоюзного единства</w:t>
            </w:r>
          </w:p>
        </w:tc>
        <w:tc>
          <w:tcPr>
            <w:tcW w:w="125" w:type="pct"/>
            <w:shd w:val="clear" w:color="000000" w:fill="FFFFFF"/>
            <w:hideMark/>
          </w:tcPr>
          <w:p w:rsidR="00D62A69" w:rsidRPr="00852214" w:rsidRDefault="00D62A69"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483" w:type="pct"/>
            <w:shd w:val="clear" w:color="000000" w:fill="FFFFFF"/>
            <w:noWrap/>
            <w:hideMark/>
          </w:tcPr>
          <w:p w:rsidR="00D62A69" w:rsidRPr="00852214" w:rsidRDefault="00D62A69"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3.91</w:t>
            </w:r>
          </w:p>
        </w:tc>
        <w:tc>
          <w:tcPr>
            <w:tcW w:w="335" w:type="pct"/>
            <w:shd w:val="clear" w:color="000000" w:fill="FFFFFF"/>
            <w:noWrap/>
            <w:hideMark/>
          </w:tcPr>
          <w:p w:rsidR="00D62A69" w:rsidRPr="00852214" w:rsidRDefault="00D62A69"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0.80</w:t>
            </w:r>
          </w:p>
        </w:tc>
        <w:tc>
          <w:tcPr>
            <w:tcW w:w="125" w:type="pct"/>
            <w:shd w:val="clear" w:color="000000" w:fill="FFFFFF"/>
            <w:noWrap/>
            <w:hideMark/>
          </w:tcPr>
          <w:p w:rsidR="00D62A69" w:rsidRPr="00852214" w:rsidRDefault="00D62A69"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D62A69" w:rsidRPr="00852214" w:rsidRDefault="00D62A69"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3.79</w:t>
            </w:r>
          </w:p>
        </w:tc>
        <w:tc>
          <w:tcPr>
            <w:tcW w:w="333" w:type="pct"/>
            <w:shd w:val="clear" w:color="000000" w:fill="FFFFFF"/>
            <w:noWrap/>
            <w:hideMark/>
          </w:tcPr>
          <w:p w:rsidR="00D62A69" w:rsidRPr="00852214" w:rsidRDefault="00D62A69"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0.70</w:t>
            </w:r>
          </w:p>
        </w:tc>
        <w:tc>
          <w:tcPr>
            <w:tcW w:w="125" w:type="pct"/>
            <w:shd w:val="clear" w:color="000000" w:fill="FFFFFF"/>
            <w:noWrap/>
            <w:hideMark/>
          </w:tcPr>
          <w:p w:rsidR="00D62A69" w:rsidRPr="00852214" w:rsidRDefault="00D62A69"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D62A69" w:rsidRPr="00852214" w:rsidRDefault="00D62A69"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1.70</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40</w:t>
            </w:r>
          </w:p>
        </w:tc>
        <w:tc>
          <w:tcPr>
            <w:tcW w:w="2195" w:type="pct"/>
            <w:shd w:val="clear" w:color="000000" w:fill="FFFFFF"/>
            <w:hideMark/>
          </w:tcPr>
          <w:p w:rsidR="00EF46C3" w:rsidRPr="00852214" w:rsidRDefault="00D62A69"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Расторжение/приостановление деятельности юридически функционирующих организаций</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4.58</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0.52</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4.79</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0.43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1.95</w:t>
            </w:r>
          </w:p>
        </w:tc>
      </w:tr>
      <w:tr w:rsidR="00EF46C3" w:rsidRPr="00852214" w:rsidTr="00EF46C3">
        <w:trPr>
          <w:trHeight w:val="510"/>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41</w:t>
            </w:r>
          </w:p>
        </w:tc>
        <w:tc>
          <w:tcPr>
            <w:tcW w:w="2195" w:type="pct"/>
            <w:shd w:val="clear" w:color="000000" w:fill="FFFFFF"/>
            <w:hideMark/>
          </w:tcPr>
          <w:p w:rsidR="00EF46C3" w:rsidRPr="00852214" w:rsidRDefault="00D62A69"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Антипрофсоюзные дискриминационные меры в отношении найма, во время работы (например, трансферты и понижения) и увольнения</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4.23</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0.91</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4.29</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1.82</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42</w:t>
            </w:r>
          </w:p>
        </w:tc>
        <w:tc>
          <w:tcPr>
            <w:tcW w:w="2195" w:type="pct"/>
            <w:shd w:val="clear" w:color="000000" w:fill="FFFFFF"/>
            <w:hideMark/>
          </w:tcPr>
          <w:p w:rsidR="00EF46C3" w:rsidRPr="00852214" w:rsidRDefault="00FD60D8"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Приверженность к реорганизации профсоюзных должностных лиц </w:t>
            </w:r>
            <w:r w:rsidR="00EF46C3" w:rsidRPr="00852214">
              <w:rPr>
                <w:rFonts w:ascii="Times New Roman" w:hAnsi="Times New Roman" w:cs="Times New Roman"/>
                <w:sz w:val="24"/>
                <w:szCs w:val="24"/>
                <w:lang w:val="en-US" w:eastAsia="en-GB"/>
              </w:rPr>
              <w:t>no</w:t>
            </w:r>
            <w:r w:rsidR="00EF46C3" w:rsidRPr="00852214">
              <w:rPr>
                <w:rFonts w:ascii="Times New Roman" w:hAnsi="Times New Roman" w:cs="Times New Roman"/>
                <w:sz w:val="24"/>
                <w:szCs w:val="24"/>
                <w:lang w:eastAsia="en-GB"/>
              </w:rPr>
              <w:t>. 41</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4.39</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0.65</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4.57</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0.51</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1.89</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43</w:t>
            </w:r>
          </w:p>
        </w:tc>
        <w:tc>
          <w:tcPr>
            <w:tcW w:w="2195" w:type="pct"/>
            <w:shd w:val="clear" w:color="000000" w:fill="FFFFFF"/>
            <w:hideMark/>
          </w:tcPr>
          <w:p w:rsidR="00EF46C3" w:rsidRPr="00852214" w:rsidRDefault="00FD73A4"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Отсутствие гарантии надлежащего судебного разбирательства и/или нарушения справедливости</w:t>
            </w:r>
            <w:r w:rsidR="00EF46C3" w:rsidRPr="00852214">
              <w:rPr>
                <w:rFonts w:ascii="Times New Roman" w:hAnsi="Times New Roman" w:cs="Times New Roman"/>
                <w:sz w:val="24"/>
                <w:szCs w:val="24"/>
                <w:lang w:eastAsia="en-GB"/>
              </w:rPr>
              <w:t xml:space="preserve"> </w:t>
            </w:r>
            <w:r w:rsidR="00EF46C3" w:rsidRPr="00852214">
              <w:rPr>
                <w:rFonts w:ascii="Times New Roman" w:hAnsi="Times New Roman" w:cs="Times New Roman"/>
                <w:sz w:val="24"/>
                <w:szCs w:val="24"/>
                <w:lang w:val="en-US" w:eastAsia="en-GB"/>
              </w:rPr>
              <w:t>no</w:t>
            </w:r>
            <w:r w:rsidR="00EF46C3" w:rsidRPr="00852214">
              <w:rPr>
                <w:rFonts w:ascii="Times New Roman" w:hAnsi="Times New Roman" w:cs="Times New Roman"/>
                <w:sz w:val="24"/>
                <w:szCs w:val="24"/>
                <w:lang w:eastAsia="en-GB"/>
              </w:rPr>
              <w:t>. 41</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3.93</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1.18</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4.21</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0.58</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1.80</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44</w:t>
            </w:r>
          </w:p>
        </w:tc>
        <w:tc>
          <w:tcPr>
            <w:tcW w:w="2195" w:type="pct"/>
            <w:shd w:val="clear" w:color="000000" w:fill="FFFFFF"/>
            <w:hideMark/>
          </w:tcPr>
          <w:p w:rsidR="00EF46C3" w:rsidRPr="00852214" w:rsidRDefault="00FD60D8"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Акты вмешательства работодателей и/или государственных органов</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3.85</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4.00</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0.68</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1.75</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45</w:t>
            </w:r>
          </w:p>
        </w:tc>
        <w:tc>
          <w:tcPr>
            <w:tcW w:w="2195" w:type="pct"/>
            <w:shd w:val="clear" w:color="000000" w:fill="FFFFFF"/>
            <w:hideMark/>
          </w:tcPr>
          <w:p w:rsidR="00EF46C3" w:rsidRPr="00852214" w:rsidRDefault="00FD73A4"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Отсутствие гарантии надлежащего судебного разбирательства и/или нарушения справедливости </w:t>
            </w:r>
            <w:r w:rsidR="00EF46C3" w:rsidRPr="00852214">
              <w:rPr>
                <w:rFonts w:ascii="Times New Roman" w:hAnsi="Times New Roman" w:cs="Times New Roman"/>
                <w:sz w:val="24"/>
                <w:szCs w:val="24"/>
                <w:lang w:val="en-US" w:eastAsia="en-GB"/>
              </w:rPr>
              <w:t>no</w:t>
            </w:r>
            <w:r w:rsidR="00EF46C3" w:rsidRPr="00852214">
              <w:rPr>
                <w:rFonts w:ascii="Times New Roman" w:hAnsi="Times New Roman" w:cs="Times New Roman"/>
                <w:sz w:val="24"/>
                <w:szCs w:val="24"/>
                <w:lang w:eastAsia="en-GB"/>
              </w:rPr>
              <w:t>. 44</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3.85</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1.14</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4.07</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1.77</w:t>
            </w:r>
          </w:p>
        </w:tc>
      </w:tr>
      <w:tr w:rsidR="00FD60D8" w:rsidRPr="00852214" w:rsidTr="00EF46C3">
        <w:trPr>
          <w:trHeight w:val="255"/>
        </w:trPr>
        <w:tc>
          <w:tcPr>
            <w:tcW w:w="265" w:type="pct"/>
            <w:shd w:val="clear" w:color="000000" w:fill="FFFFFF"/>
            <w:noWrap/>
            <w:hideMark/>
          </w:tcPr>
          <w:p w:rsidR="00FD60D8" w:rsidRPr="00852214" w:rsidRDefault="00FD60D8"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46</w:t>
            </w:r>
          </w:p>
        </w:tc>
        <w:tc>
          <w:tcPr>
            <w:tcW w:w="2195" w:type="pct"/>
            <w:shd w:val="clear" w:color="000000" w:fill="FFFFFF"/>
            <w:hideMark/>
          </w:tcPr>
          <w:p w:rsidR="00FD60D8" w:rsidRPr="00852214" w:rsidRDefault="00FD60D8"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права создавать федерации/конфедерации/международные организации и вступать в них</w:t>
            </w:r>
          </w:p>
        </w:tc>
        <w:tc>
          <w:tcPr>
            <w:tcW w:w="125" w:type="pct"/>
            <w:shd w:val="clear" w:color="000000" w:fill="FFFFFF"/>
            <w:hideMark/>
          </w:tcPr>
          <w:p w:rsidR="00FD60D8" w:rsidRPr="00852214" w:rsidRDefault="00FD60D8"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FD60D8" w:rsidRPr="00852214" w:rsidRDefault="00FD60D8"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3.83</w:t>
            </w:r>
          </w:p>
        </w:tc>
        <w:tc>
          <w:tcPr>
            <w:tcW w:w="335" w:type="pct"/>
            <w:shd w:val="clear" w:color="000000" w:fill="FFFFFF"/>
            <w:noWrap/>
            <w:hideMark/>
          </w:tcPr>
          <w:p w:rsidR="00FD60D8" w:rsidRPr="00852214" w:rsidRDefault="00FD60D8"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0.80</w:t>
            </w:r>
          </w:p>
        </w:tc>
        <w:tc>
          <w:tcPr>
            <w:tcW w:w="125" w:type="pct"/>
            <w:shd w:val="clear" w:color="000000" w:fill="FFFFFF"/>
            <w:noWrap/>
            <w:hideMark/>
          </w:tcPr>
          <w:p w:rsidR="00FD60D8" w:rsidRPr="00852214" w:rsidRDefault="00FD60D8"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FD60D8" w:rsidRPr="00852214" w:rsidRDefault="00FD60D8"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4.14</w:t>
            </w:r>
          </w:p>
        </w:tc>
        <w:tc>
          <w:tcPr>
            <w:tcW w:w="333" w:type="pct"/>
            <w:shd w:val="clear" w:color="000000" w:fill="FFFFFF"/>
            <w:noWrap/>
            <w:hideMark/>
          </w:tcPr>
          <w:p w:rsidR="00FD60D8" w:rsidRPr="00852214" w:rsidRDefault="00FD60D8"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0.53</w:t>
            </w:r>
          </w:p>
        </w:tc>
        <w:tc>
          <w:tcPr>
            <w:tcW w:w="125" w:type="pct"/>
            <w:shd w:val="clear" w:color="000000" w:fill="FFFFFF"/>
            <w:noWrap/>
            <w:hideMark/>
          </w:tcPr>
          <w:p w:rsidR="00FD60D8" w:rsidRPr="00852214" w:rsidRDefault="00FD60D8"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FD60D8" w:rsidRPr="00852214" w:rsidRDefault="00FD60D8"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1.79</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47</w:t>
            </w:r>
          </w:p>
        </w:tc>
        <w:tc>
          <w:tcPr>
            <w:tcW w:w="2195" w:type="pct"/>
            <w:shd w:val="clear" w:color="000000" w:fill="FFFFFF"/>
            <w:hideMark/>
          </w:tcPr>
          <w:p w:rsidR="00EF46C3" w:rsidRPr="00852214" w:rsidRDefault="00FD60D8"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Отсутствие гарантии надлежащего судебного разбирательства и/или нарушения справедливости</w:t>
            </w:r>
            <w:r w:rsidR="00EF46C3" w:rsidRPr="00852214">
              <w:rPr>
                <w:rFonts w:ascii="Times New Roman" w:hAnsi="Times New Roman" w:cs="Times New Roman"/>
                <w:sz w:val="24"/>
                <w:szCs w:val="24"/>
                <w:lang w:eastAsia="en-GB"/>
              </w:rPr>
              <w:t xml:space="preserve"> </w:t>
            </w:r>
            <w:proofErr w:type="spellStart"/>
            <w:r w:rsidR="00EF46C3" w:rsidRPr="00852214">
              <w:rPr>
                <w:rFonts w:ascii="Times New Roman" w:hAnsi="Times New Roman" w:cs="Times New Roman"/>
                <w:sz w:val="24"/>
                <w:szCs w:val="24"/>
                <w:lang w:val="en-US" w:eastAsia="en-GB"/>
              </w:rPr>
              <w:t>nos</w:t>
            </w:r>
            <w:proofErr w:type="spellEnd"/>
            <w:r w:rsidR="00EF46C3" w:rsidRPr="00852214">
              <w:rPr>
                <w:rFonts w:ascii="Times New Roman" w:hAnsi="Times New Roman" w:cs="Times New Roman"/>
                <w:sz w:val="24"/>
                <w:szCs w:val="24"/>
                <w:lang w:eastAsia="en-GB"/>
              </w:rPr>
              <w:t>. 35-46</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3.93</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1.11</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4.07</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0.62</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1.77</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219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b/>
                <w:bCs/>
                <w:sz w:val="24"/>
                <w:szCs w:val="24"/>
                <w:lang w:val="en-US" w:eastAsia="en-GB"/>
              </w:rPr>
            </w:pPr>
            <w:proofErr w:type="spellStart"/>
            <w:r w:rsidRPr="00852214">
              <w:rPr>
                <w:rFonts w:ascii="Times New Roman" w:hAnsi="Times New Roman" w:cs="Times New Roman"/>
                <w:b/>
                <w:bCs/>
                <w:sz w:val="24"/>
                <w:szCs w:val="24"/>
                <w:lang w:val="en-US" w:eastAsia="en-GB"/>
              </w:rPr>
              <w:t>IIIa</w:t>
            </w:r>
            <w:proofErr w:type="spellEnd"/>
            <w:r w:rsidRPr="00852214">
              <w:rPr>
                <w:rFonts w:ascii="Times New Roman" w:hAnsi="Times New Roman" w:cs="Times New Roman"/>
                <w:b/>
                <w:bCs/>
                <w:sz w:val="24"/>
                <w:szCs w:val="24"/>
                <w:lang w:val="en-US" w:eastAsia="en-GB"/>
              </w:rPr>
              <w:t xml:space="preserve">. </w:t>
            </w:r>
            <w:proofErr w:type="spellStart"/>
            <w:r w:rsidR="00FD60D8" w:rsidRPr="00852214">
              <w:rPr>
                <w:rFonts w:ascii="Times New Roman" w:hAnsi="Times New Roman" w:cs="Times New Roman"/>
                <w:b/>
                <w:bCs/>
                <w:sz w:val="24"/>
                <w:szCs w:val="24"/>
                <w:lang w:val="en-US" w:eastAsia="en-GB"/>
              </w:rPr>
              <w:t>Прочая</w:t>
            </w:r>
            <w:proofErr w:type="spellEnd"/>
            <w:r w:rsidR="00FD60D8" w:rsidRPr="00852214">
              <w:rPr>
                <w:rFonts w:ascii="Times New Roman" w:hAnsi="Times New Roman" w:cs="Times New Roman"/>
                <w:b/>
                <w:bCs/>
                <w:sz w:val="24"/>
                <w:szCs w:val="24"/>
                <w:lang w:val="en-US" w:eastAsia="en-GB"/>
              </w:rPr>
              <w:t xml:space="preserve"> </w:t>
            </w:r>
            <w:proofErr w:type="spellStart"/>
            <w:r w:rsidR="00FD60D8" w:rsidRPr="00852214">
              <w:rPr>
                <w:rFonts w:ascii="Times New Roman" w:hAnsi="Times New Roman" w:cs="Times New Roman"/>
                <w:b/>
                <w:bCs/>
                <w:sz w:val="24"/>
                <w:szCs w:val="24"/>
                <w:lang w:val="en-US" w:eastAsia="en-GB"/>
              </w:rPr>
              <w:t>профсоюзная</w:t>
            </w:r>
            <w:proofErr w:type="spellEnd"/>
            <w:r w:rsidR="00FD60D8" w:rsidRPr="00852214">
              <w:rPr>
                <w:rFonts w:ascii="Times New Roman" w:hAnsi="Times New Roman" w:cs="Times New Roman"/>
                <w:b/>
                <w:bCs/>
                <w:sz w:val="24"/>
                <w:szCs w:val="24"/>
                <w:lang w:val="en-US" w:eastAsia="en-GB"/>
              </w:rPr>
              <w:t xml:space="preserve"> </w:t>
            </w:r>
            <w:proofErr w:type="spellStart"/>
            <w:r w:rsidR="00FD60D8" w:rsidRPr="00852214">
              <w:rPr>
                <w:rFonts w:ascii="Times New Roman" w:hAnsi="Times New Roman" w:cs="Times New Roman"/>
                <w:b/>
                <w:bCs/>
                <w:sz w:val="24"/>
                <w:szCs w:val="24"/>
                <w:lang w:val="en-US" w:eastAsia="en-GB"/>
              </w:rPr>
              <w:t>деятельность</w:t>
            </w:r>
            <w:proofErr w:type="spellEnd"/>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b/>
                <w:bCs/>
                <w:sz w:val="24"/>
                <w:szCs w:val="24"/>
                <w:lang w:val="en-US" w:eastAsia="en-GB"/>
              </w:rPr>
            </w:pPr>
            <w:r w:rsidRPr="00852214">
              <w:rPr>
                <w:rFonts w:ascii="Times New Roman" w:hAnsi="Times New Roman" w:cs="Times New Roman"/>
                <w:b/>
                <w:bCs/>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val="en-US" w:eastAsia="en-GB"/>
              </w:rPr>
            </w:pPr>
            <w:r w:rsidRPr="00852214">
              <w:rPr>
                <w:rFonts w:ascii="Times New Roman" w:hAnsi="Times New Roman" w:cs="Times New Roman"/>
                <w:color w:val="000000"/>
                <w:sz w:val="24"/>
                <w:szCs w:val="24"/>
                <w:lang w:val="en-US" w:eastAsia="en-GB"/>
              </w:rPr>
              <w:t> </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val="en-US" w:eastAsia="en-GB"/>
              </w:rPr>
            </w:pPr>
            <w:r w:rsidRPr="00852214">
              <w:rPr>
                <w:rFonts w:ascii="Times New Roman" w:hAnsi="Times New Roman" w:cs="Times New Roman"/>
                <w:color w:val="000000"/>
                <w:sz w:val="24"/>
                <w:szCs w:val="24"/>
                <w:lang w:val="en-US"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val="en-US" w:eastAsia="en-GB"/>
              </w:rPr>
            </w:pPr>
            <w:r w:rsidRPr="00852214">
              <w:rPr>
                <w:rFonts w:ascii="Times New Roman" w:hAnsi="Times New Roman" w:cs="Times New Roman"/>
                <w:color w:val="000000"/>
                <w:sz w:val="24"/>
                <w:szCs w:val="24"/>
                <w:lang w:val="en-US"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val="en-US" w:eastAsia="en-GB"/>
              </w:rPr>
            </w:pPr>
            <w:r w:rsidRPr="00852214">
              <w:rPr>
                <w:rFonts w:ascii="Times New Roman" w:hAnsi="Times New Roman" w:cs="Times New Roman"/>
                <w:color w:val="000000"/>
                <w:sz w:val="24"/>
                <w:szCs w:val="24"/>
                <w:lang w:val="en-US" w:eastAsia="en-GB"/>
              </w:rPr>
              <w:t> </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val="en-US" w:eastAsia="en-GB"/>
              </w:rPr>
            </w:pPr>
            <w:r w:rsidRPr="00852214">
              <w:rPr>
                <w:rFonts w:ascii="Times New Roman" w:hAnsi="Times New Roman" w:cs="Times New Roman"/>
                <w:color w:val="000000"/>
                <w:sz w:val="24"/>
                <w:szCs w:val="24"/>
                <w:lang w:val="en-US"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val="en-US" w:eastAsia="en-GB"/>
              </w:rPr>
            </w:pPr>
            <w:r w:rsidRPr="00852214">
              <w:rPr>
                <w:rFonts w:ascii="Times New Roman" w:hAnsi="Times New Roman" w:cs="Times New Roman"/>
                <w:color w:val="000000"/>
                <w:sz w:val="24"/>
                <w:szCs w:val="24"/>
                <w:lang w:val="en-US"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val="en-US" w:eastAsia="en-GB"/>
              </w:rPr>
            </w:pPr>
            <w:r w:rsidRPr="00852214">
              <w:rPr>
                <w:rFonts w:ascii="Times New Roman" w:hAnsi="Times New Roman" w:cs="Times New Roman"/>
                <w:color w:val="000000"/>
                <w:sz w:val="24"/>
                <w:szCs w:val="24"/>
                <w:lang w:val="en-US" w:eastAsia="en-GB"/>
              </w:rPr>
              <w:t> </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48</w:t>
            </w:r>
          </w:p>
        </w:tc>
        <w:tc>
          <w:tcPr>
            <w:tcW w:w="2195" w:type="pct"/>
            <w:shd w:val="clear" w:color="000000" w:fill="FFFFFF"/>
            <w:hideMark/>
          </w:tcPr>
          <w:p w:rsidR="00EF46C3" w:rsidRPr="00852214" w:rsidRDefault="00B83CB0"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права свободно составлять конституции и внутренние правила и управление</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3.54</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0.85</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3.50</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0.76</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1.63</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49</w:t>
            </w:r>
          </w:p>
        </w:tc>
        <w:tc>
          <w:tcPr>
            <w:tcW w:w="2195" w:type="pct"/>
            <w:shd w:val="clear" w:color="000000" w:fill="FFFFFF"/>
            <w:hideMark/>
          </w:tcPr>
          <w:p w:rsidR="00EF46C3" w:rsidRPr="00852214" w:rsidRDefault="00B83CB0"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права свободно избирать представителей</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3.93</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0.96</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4.21</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0.80</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1.80</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50</w:t>
            </w:r>
          </w:p>
        </w:tc>
        <w:tc>
          <w:tcPr>
            <w:tcW w:w="2195" w:type="pct"/>
            <w:shd w:val="clear" w:color="000000" w:fill="FFFFFF"/>
            <w:hideMark/>
          </w:tcPr>
          <w:p w:rsidR="00EF46C3" w:rsidRPr="00852214" w:rsidRDefault="00B83CB0"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права свободно организовывать и контролировать финансовое управление</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3.46</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0.94</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3.36</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1.59</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51</w:t>
            </w:r>
          </w:p>
        </w:tc>
        <w:tc>
          <w:tcPr>
            <w:tcW w:w="2195" w:type="pct"/>
            <w:shd w:val="clear" w:color="000000" w:fill="FFFFFF"/>
            <w:hideMark/>
          </w:tcPr>
          <w:p w:rsidR="00EF46C3" w:rsidRPr="00852214" w:rsidRDefault="00B83CB0"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права свободно организовывать мероприятия/программы</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3.99</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4.21</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0.43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1.80</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52</w:t>
            </w:r>
          </w:p>
        </w:tc>
        <w:tc>
          <w:tcPr>
            <w:tcW w:w="2195" w:type="pct"/>
            <w:shd w:val="clear" w:color="000000" w:fill="FFFFFF"/>
            <w:hideMark/>
          </w:tcPr>
          <w:p w:rsidR="00EF46C3" w:rsidRPr="00852214" w:rsidRDefault="00B83CB0" w:rsidP="00852214">
            <w:pPr>
              <w:spacing w:before="100" w:beforeAutospacing="1" w:after="100" w:afterAutospacing="1" w:line="276" w:lineRule="auto"/>
              <w:jc w:val="both"/>
              <w:rPr>
                <w:rFonts w:ascii="Times New Roman" w:hAnsi="Times New Roman" w:cs="Times New Roman"/>
                <w:sz w:val="24"/>
                <w:szCs w:val="24"/>
                <w:lang w:val="en-US" w:eastAsia="en-GB"/>
              </w:rPr>
            </w:pPr>
            <w:proofErr w:type="spellStart"/>
            <w:r w:rsidRPr="00852214">
              <w:rPr>
                <w:rFonts w:ascii="Times New Roman" w:hAnsi="Times New Roman" w:cs="Times New Roman"/>
                <w:sz w:val="24"/>
                <w:szCs w:val="24"/>
                <w:lang w:val="en-US" w:eastAsia="en-GB"/>
              </w:rPr>
              <w:t>Запрет</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всей</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политической</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деятельности</w:t>
            </w:r>
            <w:proofErr w:type="spellEnd"/>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val="en-US"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3.62</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1.34</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3.93</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0.92</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1.73</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53</w:t>
            </w:r>
          </w:p>
        </w:tc>
        <w:tc>
          <w:tcPr>
            <w:tcW w:w="2195" w:type="pct"/>
            <w:shd w:val="clear" w:color="000000" w:fill="FFFFFF"/>
            <w:hideMark/>
          </w:tcPr>
          <w:p w:rsidR="00EF46C3" w:rsidRPr="00852214" w:rsidRDefault="00FD60D8"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Отсутствие гарантии надлежащего судебного разбирательства и/или нарушения справедливости </w:t>
            </w:r>
            <w:proofErr w:type="spellStart"/>
            <w:r w:rsidR="00EF46C3" w:rsidRPr="00852214">
              <w:rPr>
                <w:rFonts w:ascii="Times New Roman" w:hAnsi="Times New Roman" w:cs="Times New Roman"/>
                <w:sz w:val="24"/>
                <w:szCs w:val="24"/>
                <w:lang w:val="en-US" w:eastAsia="en-GB"/>
              </w:rPr>
              <w:t>nos</w:t>
            </w:r>
            <w:proofErr w:type="spellEnd"/>
            <w:r w:rsidR="00EF46C3" w:rsidRPr="00852214">
              <w:rPr>
                <w:rFonts w:ascii="Times New Roman" w:hAnsi="Times New Roman" w:cs="Times New Roman"/>
                <w:sz w:val="24"/>
                <w:szCs w:val="24"/>
                <w:lang w:eastAsia="en-GB"/>
              </w:rPr>
              <w:t>. 48-52</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4.00</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1.24</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4.29</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1.82</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219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val="en-US" w:eastAsia="en-GB"/>
              </w:rPr>
              <w:t>IIIb</w:t>
            </w:r>
            <w:proofErr w:type="spellEnd"/>
            <w:r w:rsidRPr="00852214">
              <w:rPr>
                <w:rFonts w:ascii="Times New Roman" w:hAnsi="Times New Roman" w:cs="Times New Roman"/>
                <w:b/>
                <w:bCs/>
                <w:sz w:val="24"/>
                <w:szCs w:val="24"/>
                <w:lang w:eastAsia="en-GB"/>
              </w:rPr>
              <w:t xml:space="preserve">. </w:t>
            </w:r>
            <w:r w:rsidR="00B83CB0" w:rsidRPr="00852214">
              <w:rPr>
                <w:rFonts w:ascii="Times New Roman" w:hAnsi="Times New Roman" w:cs="Times New Roman"/>
                <w:b/>
                <w:bCs/>
                <w:sz w:val="24"/>
                <w:szCs w:val="24"/>
                <w:lang w:eastAsia="en-GB"/>
              </w:rPr>
              <w:t>Другие виды деятельности профсоюза на практике</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r>
      <w:tr w:rsidR="00B83CB0" w:rsidRPr="00852214" w:rsidTr="00EF46C3">
        <w:trPr>
          <w:trHeight w:val="255"/>
        </w:trPr>
        <w:tc>
          <w:tcPr>
            <w:tcW w:w="26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lastRenderedPageBreak/>
              <w:t>54</w:t>
            </w:r>
          </w:p>
        </w:tc>
        <w:tc>
          <w:tcPr>
            <w:tcW w:w="2195" w:type="pct"/>
            <w:shd w:val="clear" w:color="000000" w:fill="FFFFFF"/>
            <w:hideMark/>
          </w:tcPr>
          <w:p w:rsidR="00B83CB0" w:rsidRPr="00852214" w:rsidRDefault="00B83CB0"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права свободно составлять конституции и внутренние правила и управление</w:t>
            </w:r>
          </w:p>
        </w:tc>
        <w:tc>
          <w:tcPr>
            <w:tcW w:w="125" w:type="pct"/>
            <w:shd w:val="clear" w:color="000000" w:fill="FFFFFF"/>
            <w:hideMark/>
          </w:tcPr>
          <w:p w:rsidR="00B83CB0" w:rsidRPr="00852214" w:rsidRDefault="00B83CB0"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3.92</w:t>
            </w:r>
          </w:p>
        </w:tc>
        <w:tc>
          <w:tcPr>
            <w:tcW w:w="33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0.77</w:t>
            </w:r>
          </w:p>
        </w:tc>
        <w:tc>
          <w:tcPr>
            <w:tcW w:w="12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4.00</w:t>
            </w:r>
          </w:p>
        </w:tc>
        <w:tc>
          <w:tcPr>
            <w:tcW w:w="333"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0.55</w:t>
            </w:r>
          </w:p>
        </w:tc>
        <w:tc>
          <w:tcPr>
            <w:tcW w:w="12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1.75</w:t>
            </w:r>
          </w:p>
        </w:tc>
      </w:tr>
      <w:tr w:rsidR="00B83CB0" w:rsidRPr="00852214" w:rsidTr="00EF46C3">
        <w:trPr>
          <w:trHeight w:val="255"/>
        </w:trPr>
        <w:tc>
          <w:tcPr>
            <w:tcW w:w="26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55</w:t>
            </w:r>
          </w:p>
        </w:tc>
        <w:tc>
          <w:tcPr>
            <w:tcW w:w="2195" w:type="pct"/>
            <w:shd w:val="clear" w:color="000000" w:fill="FFFFFF"/>
            <w:hideMark/>
          </w:tcPr>
          <w:p w:rsidR="00B83CB0" w:rsidRPr="00852214" w:rsidRDefault="00B83CB0"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права свободно избирать представителей</w:t>
            </w:r>
          </w:p>
        </w:tc>
        <w:tc>
          <w:tcPr>
            <w:tcW w:w="125" w:type="pct"/>
            <w:shd w:val="clear" w:color="000000" w:fill="FFFFFF"/>
            <w:hideMark/>
          </w:tcPr>
          <w:p w:rsidR="00B83CB0" w:rsidRPr="00852214" w:rsidRDefault="00B83CB0"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4.16</w:t>
            </w:r>
          </w:p>
        </w:tc>
        <w:tc>
          <w:tcPr>
            <w:tcW w:w="33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0.70</w:t>
            </w:r>
          </w:p>
        </w:tc>
        <w:tc>
          <w:tcPr>
            <w:tcW w:w="12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4.29</w:t>
            </w:r>
          </w:p>
        </w:tc>
        <w:tc>
          <w:tcPr>
            <w:tcW w:w="333"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0.61</w:t>
            </w:r>
          </w:p>
        </w:tc>
        <w:tc>
          <w:tcPr>
            <w:tcW w:w="12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1.82</w:t>
            </w:r>
          </w:p>
        </w:tc>
      </w:tr>
      <w:tr w:rsidR="00B83CB0" w:rsidRPr="00852214" w:rsidTr="00EF46C3">
        <w:trPr>
          <w:trHeight w:val="255"/>
        </w:trPr>
        <w:tc>
          <w:tcPr>
            <w:tcW w:w="26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56</w:t>
            </w:r>
          </w:p>
        </w:tc>
        <w:tc>
          <w:tcPr>
            <w:tcW w:w="2195" w:type="pct"/>
            <w:shd w:val="clear" w:color="000000" w:fill="FFFFFF"/>
            <w:hideMark/>
          </w:tcPr>
          <w:p w:rsidR="00B83CB0" w:rsidRPr="00852214" w:rsidRDefault="00B83CB0"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права свободно организовывать и контролировать финансовое управление</w:t>
            </w:r>
          </w:p>
        </w:tc>
        <w:tc>
          <w:tcPr>
            <w:tcW w:w="125" w:type="pct"/>
            <w:shd w:val="clear" w:color="000000" w:fill="FFFFFF"/>
            <w:hideMark/>
          </w:tcPr>
          <w:p w:rsidR="00B83CB0" w:rsidRPr="00852214" w:rsidRDefault="00B83CB0"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3.92</w:t>
            </w:r>
          </w:p>
        </w:tc>
        <w:tc>
          <w:tcPr>
            <w:tcW w:w="33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0.66</w:t>
            </w:r>
          </w:p>
        </w:tc>
        <w:tc>
          <w:tcPr>
            <w:tcW w:w="12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3.86</w:t>
            </w:r>
          </w:p>
        </w:tc>
        <w:tc>
          <w:tcPr>
            <w:tcW w:w="333"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0.53</w:t>
            </w:r>
          </w:p>
        </w:tc>
        <w:tc>
          <w:tcPr>
            <w:tcW w:w="12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1.71</w:t>
            </w:r>
          </w:p>
        </w:tc>
      </w:tr>
      <w:tr w:rsidR="00B83CB0" w:rsidRPr="00852214" w:rsidTr="00EF46C3">
        <w:trPr>
          <w:trHeight w:val="255"/>
        </w:trPr>
        <w:tc>
          <w:tcPr>
            <w:tcW w:w="26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57</w:t>
            </w:r>
          </w:p>
        </w:tc>
        <w:tc>
          <w:tcPr>
            <w:tcW w:w="2195" w:type="pct"/>
            <w:shd w:val="clear" w:color="000000" w:fill="FFFFFF"/>
            <w:hideMark/>
          </w:tcPr>
          <w:p w:rsidR="00B83CB0" w:rsidRPr="00852214" w:rsidRDefault="00B83CB0"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права свободно организовывать мероприятия/программы</w:t>
            </w:r>
          </w:p>
        </w:tc>
        <w:tc>
          <w:tcPr>
            <w:tcW w:w="125" w:type="pct"/>
            <w:shd w:val="clear" w:color="000000" w:fill="FFFFFF"/>
            <w:hideMark/>
          </w:tcPr>
          <w:p w:rsidR="00B83CB0" w:rsidRPr="00852214" w:rsidRDefault="00B83CB0"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4.07</w:t>
            </w:r>
          </w:p>
        </w:tc>
        <w:tc>
          <w:tcPr>
            <w:tcW w:w="33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0.96</w:t>
            </w:r>
          </w:p>
        </w:tc>
        <w:tc>
          <w:tcPr>
            <w:tcW w:w="12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4.14</w:t>
            </w:r>
          </w:p>
        </w:tc>
        <w:tc>
          <w:tcPr>
            <w:tcW w:w="333"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0.77</w:t>
            </w:r>
          </w:p>
        </w:tc>
        <w:tc>
          <w:tcPr>
            <w:tcW w:w="12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1.79</w:t>
            </w:r>
          </w:p>
        </w:tc>
      </w:tr>
      <w:tr w:rsidR="00B83CB0" w:rsidRPr="00852214" w:rsidTr="00EF46C3">
        <w:trPr>
          <w:trHeight w:val="255"/>
        </w:trPr>
        <w:tc>
          <w:tcPr>
            <w:tcW w:w="26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58</w:t>
            </w:r>
          </w:p>
        </w:tc>
        <w:tc>
          <w:tcPr>
            <w:tcW w:w="2195" w:type="pct"/>
            <w:shd w:val="clear" w:color="000000" w:fill="FFFFFF"/>
            <w:hideMark/>
          </w:tcPr>
          <w:p w:rsidR="00B83CB0" w:rsidRPr="00852214" w:rsidRDefault="00B83CB0" w:rsidP="00852214">
            <w:pPr>
              <w:spacing w:before="100" w:beforeAutospacing="1" w:after="100" w:afterAutospacing="1" w:line="276" w:lineRule="auto"/>
              <w:jc w:val="both"/>
              <w:rPr>
                <w:rFonts w:ascii="Times New Roman" w:hAnsi="Times New Roman" w:cs="Times New Roman"/>
                <w:sz w:val="24"/>
                <w:szCs w:val="24"/>
                <w:lang w:val="en-US" w:eastAsia="en-GB"/>
              </w:rPr>
            </w:pPr>
            <w:proofErr w:type="spellStart"/>
            <w:r w:rsidRPr="00852214">
              <w:rPr>
                <w:rFonts w:ascii="Times New Roman" w:hAnsi="Times New Roman" w:cs="Times New Roman"/>
                <w:sz w:val="24"/>
                <w:szCs w:val="24"/>
                <w:lang w:val="en-US" w:eastAsia="en-GB"/>
              </w:rPr>
              <w:t>Запрет</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всей</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политической</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деятельности</w:t>
            </w:r>
            <w:proofErr w:type="spellEnd"/>
          </w:p>
        </w:tc>
        <w:tc>
          <w:tcPr>
            <w:tcW w:w="125" w:type="pct"/>
            <w:shd w:val="clear" w:color="000000" w:fill="FFFFFF"/>
            <w:hideMark/>
          </w:tcPr>
          <w:p w:rsidR="00B83CB0" w:rsidRPr="00852214" w:rsidRDefault="00B83CB0" w:rsidP="00852214">
            <w:pPr>
              <w:spacing w:before="100" w:beforeAutospacing="1" w:after="100" w:afterAutospacing="1" w:line="276" w:lineRule="auto"/>
              <w:jc w:val="both"/>
              <w:rPr>
                <w:rFonts w:ascii="Times New Roman" w:hAnsi="Times New Roman" w:cs="Times New Roman"/>
                <w:sz w:val="24"/>
                <w:szCs w:val="24"/>
                <w:lang w:val="en-US"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3.69</w:t>
            </w:r>
          </w:p>
        </w:tc>
        <w:tc>
          <w:tcPr>
            <w:tcW w:w="33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1.33</w:t>
            </w:r>
          </w:p>
        </w:tc>
        <w:tc>
          <w:tcPr>
            <w:tcW w:w="12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3.79</w:t>
            </w:r>
          </w:p>
        </w:tc>
        <w:tc>
          <w:tcPr>
            <w:tcW w:w="333"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1.05</w:t>
            </w:r>
          </w:p>
        </w:tc>
        <w:tc>
          <w:tcPr>
            <w:tcW w:w="125"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B83CB0" w:rsidRPr="00852214" w:rsidRDefault="00B83CB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1.70</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59</w:t>
            </w:r>
          </w:p>
        </w:tc>
        <w:tc>
          <w:tcPr>
            <w:tcW w:w="2195" w:type="pct"/>
            <w:shd w:val="clear" w:color="000000" w:fill="FFFFFF"/>
            <w:hideMark/>
          </w:tcPr>
          <w:p w:rsidR="00EF46C3" w:rsidRPr="00852214" w:rsidRDefault="00FD60D8"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Отсутствие гарантии надлежащего судебного разбирательства и/или нарушения справедливости </w:t>
            </w:r>
            <w:proofErr w:type="spellStart"/>
            <w:r w:rsidR="00EF46C3" w:rsidRPr="00852214">
              <w:rPr>
                <w:rFonts w:ascii="Times New Roman" w:hAnsi="Times New Roman" w:cs="Times New Roman"/>
                <w:sz w:val="24"/>
                <w:szCs w:val="24"/>
                <w:lang w:val="en-US" w:eastAsia="en-GB"/>
              </w:rPr>
              <w:t>nos</w:t>
            </w:r>
            <w:proofErr w:type="spellEnd"/>
            <w:r w:rsidR="00EF46C3" w:rsidRPr="00852214">
              <w:rPr>
                <w:rFonts w:ascii="Times New Roman" w:hAnsi="Times New Roman" w:cs="Times New Roman"/>
                <w:sz w:val="24"/>
                <w:szCs w:val="24"/>
                <w:lang w:eastAsia="en-GB"/>
              </w:rPr>
              <w:t>. 54-58</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3.85</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1.17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4.14</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0.86</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1.79</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219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val="en-US" w:eastAsia="en-GB"/>
              </w:rPr>
              <w:t>IVa</w:t>
            </w:r>
            <w:proofErr w:type="spellEnd"/>
            <w:r w:rsidRPr="00852214">
              <w:rPr>
                <w:rFonts w:ascii="Times New Roman" w:hAnsi="Times New Roman" w:cs="Times New Roman"/>
                <w:b/>
                <w:bCs/>
                <w:sz w:val="24"/>
                <w:szCs w:val="24"/>
                <w:lang w:eastAsia="en-GB"/>
              </w:rPr>
              <w:t xml:space="preserve">. </w:t>
            </w:r>
            <w:r w:rsidR="00B83CB0" w:rsidRPr="00852214">
              <w:rPr>
                <w:rFonts w:ascii="Times New Roman" w:hAnsi="Times New Roman" w:cs="Times New Roman"/>
                <w:b/>
                <w:bCs/>
                <w:sz w:val="24"/>
                <w:szCs w:val="24"/>
                <w:lang w:eastAsia="en-GB"/>
              </w:rPr>
              <w:t>Право на ведение коллективных переговоров</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60</w:t>
            </w:r>
          </w:p>
        </w:tc>
        <w:tc>
          <w:tcPr>
            <w:tcW w:w="2195" w:type="pct"/>
            <w:shd w:val="clear" w:color="000000" w:fill="FFFFFF"/>
            <w:hideMark/>
          </w:tcPr>
          <w:p w:rsidR="00EF46C3"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Общий запрет </w:t>
            </w:r>
            <w:proofErr w:type="gramStart"/>
            <w:r w:rsidRPr="00852214">
              <w:rPr>
                <w:rFonts w:ascii="Times New Roman" w:hAnsi="Times New Roman" w:cs="Times New Roman"/>
                <w:sz w:val="24"/>
                <w:szCs w:val="24"/>
                <w:lang w:eastAsia="en-GB"/>
              </w:rPr>
              <w:t>на право на</w:t>
            </w:r>
            <w:proofErr w:type="gramEnd"/>
            <w:r w:rsidRPr="00852214">
              <w:rPr>
                <w:rFonts w:ascii="Times New Roman" w:hAnsi="Times New Roman" w:cs="Times New Roman"/>
                <w:sz w:val="24"/>
                <w:szCs w:val="24"/>
                <w:lang w:eastAsia="en-GB"/>
              </w:rPr>
              <w:t xml:space="preserve"> ведение коллективных переговоров</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4.69</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0.61</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4.71</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0.47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1.93</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61</w:t>
            </w:r>
          </w:p>
        </w:tc>
        <w:tc>
          <w:tcPr>
            <w:tcW w:w="2195" w:type="pct"/>
            <w:shd w:val="clear" w:color="000000" w:fill="FFFFFF"/>
            <w:hideMark/>
          </w:tcPr>
          <w:p w:rsidR="00EF46C3" w:rsidRPr="00852214" w:rsidRDefault="00D51602" w:rsidP="00852214">
            <w:pPr>
              <w:spacing w:before="100" w:beforeAutospacing="1" w:after="100" w:afterAutospacing="1" w:line="276" w:lineRule="auto"/>
              <w:jc w:val="both"/>
              <w:rPr>
                <w:rFonts w:ascii="Times New Roman" w:hAnsi="Times New Roman" w:cs="Times New Roman"/>
                <w:sz w:val="24"/>
                <w:szCs w:val="24"/>
                <w:lang w:val="en-US" w:eastAsia="en-GB"/>
              </w:rPr>
            </w:pPr>
            <w:proofErr w:type="spellStart"/>
            <w:r w:rsidRPr="00852214">
              <w:rPr>
                <w:rFonts w:ascii="Times New Roman" w:hAnsi="Times New Roman" w:cs="Times New Roman"/>
                <w:sz w:val="24"/>
                <w:szCs w:val="24"/>
                <w:lang w:val="en-US" w:eastAsia="en-GB"/>
              </w:rPr>
              <w:t>Недостаточное</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продвижение</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коллективных</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переговоров</w:t>
            </w:r>
            <w:proofErr w:type="spellEnd"/>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val="en-US"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2.77</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2.79</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0.70</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1.45</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62</w:t>
            </w:r>
          </w:p>
        </w:tc>
        <w:tc>
          <w:tcPr>
            <w:tcW w:w="2195" w:type="pct"/>
            <w:shd w:val="clear" w:color="000000" w:fill="FFFFFF"/>
            <w:hideMark/>
          </w:tcPr>
          <w:p w:rsidR="00EF46C3"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Исключение работников из права на ведение коллективных переговоров</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4.15</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4.29</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0.47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1.82</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63</w:t>
            </w:r>
          </w:p>
        </w:tc>
        <w:tc>
          <w:tcPr>
            <w:tcW w:w="2195" w:type="pct"/>
            <w:shd w:val="clear" w:color="000000" w:fill="FFFFFF"/>
            <w:hideMark/>
          </w:tcPr>
          <w:p w:rsidR="00EF46C3"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Исключение/ограничение тем, охватываемых коллективными переговорами</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3.46</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0.85</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3.71</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0.61</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1.68</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64</w:t>
            </w:r>
          </w:p>
        </w:tc>
        <w:tc>
          <w:tcPr>
            <w:tcW w:w="2195" w:type="pct"/>
            <w:shd w:val="clear" w:color="000000" w:fill="FFFFFF"/>
            <w:hideMark/>
          </w:tcPr>
          <w:p w:rsidR="00EF46C3"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Обязательный арбитраж, предоставляемый на ведение коллективных переговоров</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3.62</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3.79</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0.58</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1.70</w:t>
            </w:r>
          </w:p>
        </w:tc>
      </w:tr>
      <w:tr w:rsidR="00EF46C3" w:rsidRPr="00852214" w:rsidTr="00EF46C3">
        <w:trPr>
          <w:trHeight w:val="510"/>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65</w:t>
            </w:r>
          </w:p>
        </w:tc>
        <w:tc>
          <w:tcPr>
            <w:tcW w:w="2195" w:type="pct"/>
            <w:shd w:val="clear" w:color="000000" w:fill="FFFFFF"/>
            <w:hideMark/>
          </w:tcPr>
          <w:p w:rsidR="00EF46C3"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Чрезмерные требования и/или отсутствие объективных, заранее установленных и точных критериев для определения/признания профсоюзов, имеющих право на ведение коллективных переговоров</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3.23</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0.99</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3.36</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0.74</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1.59</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66</w:t>
            </w:r>
          </w:p>
        </w:tc>
        <w:tc>
          <w:tcPr>
            <w:tcW w:w="2195" w:type="pct"/>
            <w:shd w:val="clear" w:color="000000" w:fill="FFFFFF"/>
            <w:hideMark/>
          </w:tcPr>
          <w:p w:rsidR="00EF46C3"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Акты вмешательства в коллективные переговоры</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3.62</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1.08</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3.64</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1.66</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67</w:t>
            </w:r>
          </w:p>
        </w:tc>
        <w:tc>
          <w:tcPr>
            <w:tcW w:w="2195" w:type="pct"/>
            <w:shd w:val="clear" w:color="000000" w:fill="FFFFFF"/>
            <w:hideMark/>
          </w:tcPr>
          <w:p w:rsidR="00EF46C3"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коллективных договоров</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3.68</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1.16</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3.57</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0.85</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1.64</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68</w:t>
            </w:r>
          </w:p>
        </w:tc>
        <w:tc>
          <w:tcPr>
            <w:tcW w:w="2195" w:type="pct"/>
            <w:shd w:val="clear" w:color="000000" w:fill="FFFFFF"/>
            <w:hideMark/>
          </w:tcPr>
          <w:p w:rsidR="00EF46C3"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консультации с организациями работников</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3.46</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1.02</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3.43</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0.94</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1.61</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69</w:t>
            </w:r>
          </w:p>
        </w:tc>
        <w:tc>
          <w:tcPr>
            <w:tcW w:w="2195" w:type="pct"/>
            <w:shd w:val="clear" w:color="000000" w:fill="FFFFFF"/>
            <w:hideMark/>
          </w:tcPr>
          <w:p w:rsidR="00EF46C3" w:rsidRPr="00852214" w:rsidRDefault="00FD60D8"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Отсутствие гарантии надлежащего судебного разбирательства и/или нарушения справедливости</w:t>
            </w:r>
            <w:r w:rsidR="00EF46C3" w:rsidRPr="00852214">
              <w:rPr>
                <w:rFonts w:ascii="Times New Roman" w:hAnsi="Times New Roman" w:cs="Times New Roman"/>
                <w:sz w:val="24"/>
                <w:szCs w:val="24"/>
                <w:lang w:eastAsia="en-GB"/>
              </w:rPr>
              <w:t xml:space="preserve"> </w:t>
            </w:r>
            <w:proofErr w:type="spellStart"/>
            <w:r w:rsidR="00EF46C3" w:rsidRPr="00852214">
              <w:rPr>
                <w:rFonts w:ascii="Times New Roman" w:hAnsi="Times New Roman" w:cs="Times New Roman"/>
                <w:sz w:val="24"/>
                <w:szCs w:val="24"/>
                <w:lang w:val="en-US" w:eastAsia="en-GB"/>
              </w:rPr>
              <w:t>nos</w:t>
            </w:r>
            <w:proofErr w:type="spellEnd"/>
            <w:r w:rsidR="00EF46C3" w:rsidRPr="00852214">
              <w:rPr>
                <w:rFonts w:ascii="Times New Roman" w:hAnsi="Times New Roman" w:cs="Times New Roman"/>
                <w:sz w:val="24"/>
                <w:szCs w:val="24"/>
                <w:lang w:eastAsia="en-GB"/>
              </w:rPr>
              <w:t>. 60-68</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3.54</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1.45</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3.93</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0.92</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1.73</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219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val="en-US" w:eastAsia="en-GB"/>
              </w:rPr>
              <w:t>IVb</w:t>
            </w:r>
            <w:proofErr w:type="spellEnd"/>
            <w:r w:rsidRPr="00852214">
              <w:rPr>
                <w:rFonts w:ascii="Times New Roman" w:hAnsi="Times New Roman" w:cs="Times New Roman"/>
                <w:b/>
                <w:bCs/>
                <w:sz w:val="24"/>
                <w:szCs w:val="24"/>
                <w:lang w:eastAsia="en-GB"/>
              </w:rPr>
              <w:t xml:space="preserve">. </w:t>
            </w:r>
            <w:r w:rsidR="00B83CB0" w:rsidRPr="00852214">
              <w:rPr>
                <w:rFonts w:ascii="Times New Roman" w:hAnsi="Times New Roman" w:cs="Times New Roman"/>
                <w:b/>
                <w:bCs/>
                <w:sz w:val="24"/>
                <w:szCs w:val="24"/>
                <w:lang w:eastAsia="en-GB"/>
              </w:rPr>
              <w:t>Право на коллективные переговоры на практике</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r>
      <w:tr w:rsidR="00D51602" w:rsidRPr="00852214" w:rsidTr="00EF46C3">
        <w:trPr>
          <w:trHeight w:val="255"/>
        </w:trPr>
        <w:tc>
          <w:tcPr>
            <w:tcW w:w="26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lastRenderedPageBreak/>
              <w:t>70</w:t>
            </w:r>
          </w:p>
        </w:tc>
        <w:tc>
          <w:tcPr>
            <w:tcW w:w="219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Общий запрет </w:t>
            </w:r>
            <w:proofErr w:type="gramStart"/>
            <w:r w:rsidRPr="00852214">
              <w:rPr>
                <w:rFonts w:ascii="Times New Roman" w:hAnsi="Times New Roman" w:cs="Times New Roman"/>
                <w:sz w:val="24"/>
                <w:szCs w:val="24"/>
                <w:lang w:eastAsia="en-GB"/>
              </w:rPr>
              <w:t>на право на</w:t>
            </w:r>
            <w:proofErr w:type="gramEnd"/>
            <w:r w:rsidRPr="00852214">
              <w:rPr>
                <w:rFonts w:ascii="Times New Roman" w:hAnsi="Times New Roman" w:cs="Times New Roman"/>
                <w:sz w:val="24"/>
                <w:szCs w:val="24"/>
                <w:lang w:eastAsia="en-GB"/>
              </w:rPr>
              <w:t xml:space="preserve"> ведение коллективных переговоров</w:t>
            </w:r>
          </w:p>
        </w:tc>
        <w:tc>
          <w:tcPr>
            <w:tcW w:w="12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4.54</w:t>
            </w:r>
          </w:p>
        </w:tc>
        <w:tc>
          <w:tcPr>
            <w:tcW w:w="33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0.65</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4.57</w:t>
            </w:r>
          </w:p>
        </w:tc>
        <w:tc>
          <w:tcPr>
            <w:tcW w:w="33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0.51</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1.89</w:t>
            </w:r>
          </w:p>
        </w:tc>
      </w:tr>
      <w:tr w:rsidR="00D51602" w:rsidRPr="00852214" w:rsidTr="00EF46C3">
        <w:trPr>
          <w:trHeight w:val="255"/>
        </w:trPr>
        <w:tc>
          <w:tcPr>
            <w:tcW w:w="26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71</w:t>
            </w:r>
          </w:p>
        </w:tc>
        <w:tc>
          <w:tcPr>
            <w:tcW w:w="219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val="en-US" w:eastAsia="en-GB"/>
              </w:rPr>
            </w:pPr>
            <w:proofErr w:type="spellStart"/>
            <w:r w:rsidRPr="00852214">
              <w:rPr>
                <w:rFonts w:ascii="Times New Roman" w:hAnsi="Times New Roman" w:cs="Times New Roman"/>
                <w:sz w:val="24"/>
                <w:szCs w:val="24"/>
                <w:lang w:val="en-US" w:eastAsia="en-GB"/>
              </w:rPr>
              <w:t>Недостаточное</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продвижение</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коллективных</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переговоров</w:t>
            </w:r>
            <w:proofErr w:type="spellEnd"/>
          </w:p>
        </w:tc>
        <w:tc>
          <w:tcPr>
            <w:tcW w:w="12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val="en-US"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2.92</w:t>
            </w:r>
          </w:p>
        </w:tc>
        <w:tc>
          <w:tcPr>
            <w:tcW w:w="33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0.83</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2.79</w:t>
            </w:r>
          </w:p>
        </w:tc>
        <w:tc>
          <w:tcPr>
            <w:tcW w:w="33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0.70</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1.45</w:t>
            </w:r>
          </w:p>
        </w:tc>
      </w:tr>
      <w:tr w:rsidR="00D51602" w:rsidRPr="00852214" w:rsidTr="00EF46C3">
        <w:trPr>
          <w:trHeight w:val="255"/>
        </w:trPr>
        <w:tc>
          <w:tcPr>
            <w:tcW w:w="26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72</w:t>
            </w:r>
          </w:p>
        </w:tc>
        <w:tc>
          <w:tcPr>
            <w:tcW w:w="219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Исключение работников из права на ведение коллективных переговоров</w:t>
            </w:r>
          </w:p>
        </w:tc>
        <w:tc>
          <w:tcPr>
            <w:tcW w:w="12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4.08</w:t>
            </w:r>
          </w:p>
        </w:tc>
        <w:tc>
          <w:tcPr>
            <w:tcW w:w="33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0.66</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4.36</w:t>
            </w:r>
          </w:p>
        </w:tc>
        <w:tc>
          <w:tcPr>
            <w:tcW w:w="33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0.50</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1.84</w:t>
            </w:r>
          </w:p>
        </w:tc>
      </w:tr>
      <w:tr w:rsidR="00D51602" w:rsidRPr="00852214" w:rsidTr="00EF46C3">
        <w:trPr>
          <w:trHeight w:val="255"/>
        </w:trPr>
        <w:tc>
          <w:tcPr>
            <w:tcW w:w="26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73</w:t>
            </w:r>
          </w:p>
        </w:tc>
        <w:tc>
          <w:tcPr>
            <w:tcW w:w="219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Исключение/ограничение тем, охватываемых коллективными переговорами</w:t>
            </w:r>
          </w:p>
        </w:tc>
        <w:tc>
          <w:tcPr>
            <w:tcW w:w="12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3.38</w:t>
            </w:r>
          </w:p>
        </w:tc>
        <w:tc>
          <w:tcPr>
            <w:tcW w:w="33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0.50</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3.36</w:t>
            </w:r>
          </w:p>
        </w:tc>
        <w:tc>
          <w:tcPr>
            <w:tcW w:w="33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0.50</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1.59</w:t>
            </w:r>
          </w:p>
        </w:tc>
      </w:tr>
      <w:tr w:rsidR="00D51602" w:rsidRPr="00852214" w:rsidTr="00EF46C3">
        <w:trPr>
          <w:trHeight w:val="255"/>
        </w:trPr>
        <w:tc>
          <w:tcPr>
            <w:tcW w:w="26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74</w:t>
            </w:r>
          </w:p>
        </w:tc>
        <w:tc>
          <w:tcPr>
            <w:tcW w:w="219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Обязательный арбитраж, предоставляемый на ведение коллективных переговоров</w:t>
            </w:r>
          </w:p>
        </w:tc>
        <w:tc>
          <w:tcPr>
            <w:tcW w:w="12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3.69</w:t>
            </w:r>
          </w:p>
        </w:tc>
        <w:tc>
          <w:tcPr>
            <w:tcW w:w="33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0.93</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3.71</w:t>
            </w:r>
          </w:p>
        </w:tc>
        <w:tc>
          <w:tcPr>
            <w:tcW w:w="33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0.47</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1.68</w:t>
            </w:r>
          </w:p>
        </w:tc>
      </w:tr>
      <w:tr w:rsidR="00D51602" w:rsidRPr="00852214" w:rsidTr="00EF46C3">
        <w:trPr>
          <w:trHeight w:val="510"/>
        </w:trPr>
        <w:tc>
          <w:tcPr>
            <w:tcW w:w="26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75</w:t>
            </w:r>
          </w:p>
        </w:tc>
        <w:tc>
          <w:tcPr>
            <w:tcW w:w="219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Чрезмерные требования и/или отсутствие объективных, заранее установленных и точных критериев для определения/признания профсоюзов, имеющих право на ведение коллективных переговоров</w:t>
            </w:r>
          </w:p>
        </w:tc>
        <w:tc>
          <w:tcPr>
            <w:tcW w:w="12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3.62</w:t>
            </w:r>
          </w:p>
        </w:tc>
        <w:tc>
          <w:tcPr>
            <w:tcW w:w="33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0.84</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3.57</w:t>
            </w:r>
          </w:p>
        </w:tc>
        <w:tc>
          <w:tcPr>
            <w:tcW w:w="33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0.76</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1.64</w:t>
            </w:r>
          </w:p>
        </w:tc>
      </w:tr>
      <w:tr w:rsidR="00D51602" w:rsidRPr="00852214" w:rsidTr="00EF46C3">
        <w:trPr>
          <w:trHeight w:val="255"/>
        </w:trPr>
        <w:tc>
          <w:tcPr>
            <w:tcW w:w="26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76</w:t>
            </w:r>
          </w:p>
        </w:tc>
        <w:tc>
          <w:tcPr>
            <w:tcW w:w="219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Акты вмешательства в коллективные переговоры</w:t>
            </w:r>
          </w:p>
        </w:tc>
        <w:tc>
          <w:tcPr>
            <w:tcW w:w="12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3.77</w:t>
            </w:r>
          </w:p>
        </w:tc>
        <w:tc>
          <w:tcPr>
            <w:tcW w:w="33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0.97</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3.57</w:t>
            </w:r>
          </w:p>
        </w:tc>
        <w:tc>
          <w:tcPr>
            <w:tcW w:w="33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0.85</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1.64</w:t>
            </w:r>
          </w:p>
        </w:tc>
      </w:tr>
      <w:tr w:rsidR="00D51602" w:rsidRPr="00852214" w:rsidTr="00EF46C3">
        <w:trPr>
          <w:trHeight w:val="255"/>
        </w:trPr>
        <w:tc>
          <w:tcPr>
            <w:tcW w:w="26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77</w:t>
            </w:r>
          </w:p>
        </w:tc>
        <w:tc>
          <w:tcPr>
            <w:tcW w:w="219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коллективных договоров</w:t>
            </w:r>
          </w:p>
        </w:tc>
        <w:tc>
          <w:tcPr>
            <w:tcW w:w="12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48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4.07</w:t>
            </w:r>
          </w:p>
        </w:tc>
        <w:tc>
          <w:tcPr>
            <w:tcW w:w="33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0.88</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3.93</w:t>
            </w:r>
          </w:p>
        </w:tc>
        <w:tc>
          <w:tcPr>
            <w:tcW w:w="33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0.73</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1.73</w:t>
            </w:r>
          </w:p>
        </w:tc>
      </w:tr>
      <w:tr w:rsidR="00D51602" w:rsidRPr="00852214" w:rsidTr="00EF46C3">
        <w:trPr>
          <w:trHeight w:val="255"/>
        </w:trPr>
        <w:tc>
          <w:tcPr>
            <w:tcW w:w="26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78</w:t>
            </w:r>
          </w:p>
        </w:tc>
        <w:tc>
          <w:tcPr>
            <w:tcW w:w="219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консультации с организациями работников</w:t>
            </w:r>
          </w:p>
        </w:tc>
        <w:tc>
          <w:tcPr>
            <w:tcW w:w="12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3.54</w:t>
            </w:r>
          </w:p>
        </w:tc>
        <w:tc>
          <w:tcPr>
            <w:tcW w:w="33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0.85</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3.36</w:t>
            </w:r>
          </w:p>
        </w:tc>
        <w:tc>
          <w:tcPr>
            <w:tcW w:w="33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0.84</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1.59</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79</w:t>
            </w:r>
          </w:p>
        </w:tc>
        <w:tc>
          <w:tcPr>
            <w:tcW w:w="2195" w:type="pct"/>
            <w:shd w:val="clear" w:color="000000" w:fill="FFFFFF"/>
            <w:hideMark/>
          </w:tcPr>
          <w:p w:rsidR="00EF46C3" w:rsidRPr="00852214" w:rsidRDefault="00FD60D8"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Отсутствие гарантии надлежащего судебного разбирательства и/или нарушения справедливости</w:t>
            </w:r>
            <w:r w:rsidR="00EF46C3" w:rsidRPr="00852214">
              <w:rPr>
                <w:rFonts w:ascii="Times New Roman" w:hAnsi="Times New Roman" w:cs="Times New Roman"/>
                <w:sz w:val="24"/>
                <w:szCs w:val="24"/>
                <w:lang w:eastAsia="en-GB"/>
              </w:rPr>
              <w:t xml:space="preserve"> </w:t>
            </w:r>
            <w:proofErr w:type="spellStart"/>
            <w:r w:rsidR="00EF46C3" w:rsidRPr="00852214">
              <w:rPr>
                <w:rFonts w:ascii="Times New Roman" w:hAnsi="Times New Roman" w:cs="Times New Roman"/>
                <w:sz w:val="24"/>
                <w:szCs w:val="24"/>
                <w:lang w:val="en-US" w:eastAsia="en-GB"/>
              </w:rPr>
              <w:t>nos</w:t>
            </w:r>
            <w:proofErr w:type="spellEnd"/>
            <w:r w:rsidR="00EF46C3" w:rsidRPr="00852214">
              <w:rPr>
                <w:rFonts w:ascii="Times New Roman" w:hAnsi="Times New Roman" w:cs="Times New Roman"/>
                <w:sz w:val="24"/>
                <w:szCs w:val="24"/>
                <w:lang w:eastAsia="en-GB"/>
              </w:rPr>
              <w:t>. 70-78</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3.85</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1.23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3.86</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0.86</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1.71</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219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b/>
                <w:bCs/>
                <w:sz w:val="24"/>
                <w:szCs w:val="24"/>
                <w:lang w:val="en-US" w:eastAsia="en-GB"/>
              </w:rPr>
            </w:pPr>
            <w:r w:rsidRPr="00852214">
              <w:rPr>
                <w:rFonts w:ascii="Times New Roman" w:hAnsi="Times New Roman" w:cs="Times New Roman"/>
                <w:b/>
                <w:bCs/>
                <w:sz w:val="24"/>
                <w:szCs w:val="24"/>
                <w:lang w:val="en-US" w:eastAsia="en-GB"/>
              </w:rPr>
              <w:t xml:space="preserve">Va. </w:t>
            </w:r>
            <w:proofErr w:type="spellStart"/>
            <w:r w:rsidR="00B83CB0" w:rsidRPr="00852214">
              <w:rPr>
                <w:rFonts w:ascii="Times New Roman" w:hAnsi="Times New Roman" w:cs="Times New Roman"/>
                <w:b/>
                <w:bCs/>
                <w:sz w:val="24"/>
                <w:szCs w:val="24"/>
                <w:lang w:val="en-US" w:eastAsia="en-GB"/>
              </w:rPr>
              <w:t>Право</w:t>
            </w:r>
            <w:proofErr w:type="spellEnd"/>
            <w:r w:rsidR="00B83CB0" w:rsidRPr="00852214">
              <w:rPr>
                <w:rFonts w:ascii="Times New Roman" w:hAnsi="Times New Roman" w:cs="Times New Roman"/>
                <w:b/>
                <w:bCs/>
                <w:sz w:val="24"/>
                <w:szCs w:val="24"/>
                <w:lang w:val="en-US" w:eastAsia="en-GB"/>
              </w:rPr>
              <w:t xml:space="preserve"> </w:t>
            </w:r>
            <w:proofErr w:type="spellStart"/>
            <w:r w:rsidR="00B83CB0" w:rsidRPr="00852214">
              <w:rPr>
                <w:rFonts w:ascii="Times New Roman" w:hAnsi="Times New Roman" w:cs="Times New Roman"/>
                <w:b/>
                <w:bCs/>
                <w:sz w:val="24"/>
                <w:szCs w:val="24"/>
                <w:lang w:val="en-US" w:eastAsia="en-GB"/>
              </w:rPr>
              <w:t>на</w:t>
            </w:r>
            <w:proofErr w:type="spellEnd"/>
            <w:r w:rsidR="00B83CB0" w:rsidRPr="00852214">
              <w:rPr>
                <w:rFonts w:ascii="Times New Roman" w:hAnsi="Times New Roman" w:cs="Times New Roman"/>
                <w:b/>
                <w:bCs/>
                <w:sz w:val="24"/>
                <w:szCs w:val="24"/>
                <w:lang w:val="en-US" w:eastAsia="en-GB"/>
              </w:rPr>
              <w:t xml:space="preserve"> </w:t>
            </w:r>
            <w:proofErr w:type="spellStart"/>
            <w:r w:rsidR="00B83CB0" w:rsidRPr="00852214">
              <w:rPr>
                <w:rFonts w:ascii="Times New Roman" w:hAnsi="Times New Roman" w:cs="Times New Roman"/>
                <w:b/>
                <w:bCs/>
                <w:sz w:val="24"/>
                <w:szCs w:val="24"/>
                <w:lang w:val="en-US" w:eastAsia="en-GB"/>
              </w:rPr>
              <w:t>забастовку</w:t>
            </w:r>
            <w:proofErr w:type="spellEnd"/>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b/>
                <w:bCs/>
                <w:sz w:val="24"/>
                <w:szCs w:val="24"/>
                <w:lang w:val="en-US" w:eastAsia="en-GB"/>
              </w:rPr>
            </w:pPr>
            <w:r w:rsidRPr="00852214">
              <w:rPr>
                <w:rFonts w:ascii="Times New Roman" w:hAnsi="Times New Roman" w:cs="Times New Roman"/>
                <w:b/>
                <w:bCs/>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val="en-US" w:eastAsia="en-GB"/>
              </w:rPr>
            </w:pPr>
            <w:r w:rsidRPr="00852214">
              <w:rPr>
                <w:rFonts w:ascii="Times New Roman" w:hAnsi="Times New Roman" w:cs="Times New Roman"/>
                <w:color w:val="000000"/>
                <w:sz w:val="24"/>
                <w:szCs w:val="24"/>
                <w:lang w:val="en-US" w:eastAsia="en-GB"/>
              </w:rPr>
              <w:t> </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val="en-US" w:eastAsia="en-GB"/>
              </w:rPr>
            </w:pPr>
            <w:r w:rsidRPr="00852214">
              <w:rPr>
                <w:rFonts w:ascii="Times New Roman" w:hAnsi="Times New Roman" w:cs="Times New Roman"/>
                <w:color w:val="000000"/>
                <w:sz w:val="24"/>
                <w:szCs w:val="24"/>
                <w:lang w:val="en-US"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val="en-US" w:eastAsia="en-GB"/>
              </w:rPr>
            </w:pPr>
            <w:r w:rsidRPr="00852214">
              <w:rPr>
                <w:rFonts w:ascii="Times New Roman" w:hAnsi="Times New Roman" w:cs="Times New Roman"/>
                <w:color w:val="000000"/>
                <w:sz w:val="24"/>
                <w:szCs w:val="24"/>
                <w:lang w:val="en-US"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val="en-US" w:eastAsia="en-GB"/>
              </w:rPr>
            </w:pPr>
            <w:r w:rsidRPr="00852214">
              <w:rPr>
                <w:rFonts w:ascii="Times New Roman" w:hAnsi="Times New Roman" w:cs="Times New Roman"/>
                <w:color w:val="000000"/>
                <w:sz w:val="24"/>
                <w:szCs w:val="24"/>
                <w:lang w:val="en-US" w:eastAsia="en-GB"/>
              </w:rPr>
              <w:t> </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val="en-US" w:eastAsia="en-GB"/>
              </w:rPr>
            </w:pPr>
            <w:r w:rsidRPr="00852214">
              <w:rPr>
                <w:rFonts w:ascii="Times New Roman" w:hAnsi="Times New Roman" w:cs="Times New Roman"/>
                <w:color w:val="000000"/>
                <w:sz w:val="24"/>
                <w:szCs w:val="24"/>
                <w:lang w:val="en-US"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val="en-US" w:eastAsia="en-GB"/>
              </w:rPr>
            </w:pPr>
            <w:r w:rsidRPr="00852214">
              <w:rPr>
                <w:rFonts w:ascii="Times New Roman" w:hAnsi="Times New Roman" w:cs="Times New Roman"/>
                <w:color w:val="000000"/>
                <w:sz w:val="24"/>
                <w:szCs w:val="24"/>
                <w:lang w:val="en-US"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val="en-US" w:eastAsia="en-GB"/>
              </w:rPr>
            </w:pPr>
            <w:r w:rsidRPr="00852214">
              <w:rPr>
                <w:rFonts w:ascii="Times New Roman" w:hAnsi="Times New Roman" w:cs="Times New Roman"/>
                <w:color w:val="000000"/>
                <w:sz w:val="24"/>
                <w:szCs w:val="24"/>
                <w:lang w:val="en-US" w:eastAsia="en-GB"/>
              </w:rPr>
              <w:t> </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80</w:t>
            </w:r>
          </w:p>
        </w:tc>
        <w:tc>
          <w:tcPr>
            <w:tcW w:w="2195" w:type="pct"/>
            <w:shd w:val="clear" w:color="000000" w:fill="FFFFFF"/>
            <w:hideMark/>
          </w:tcPr>
          <w:p w:rsidR="00EF46C3"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Общий запрет </w:t>
            </w:r>
            <w:proofErr w:type="gramStart"/>
            <w:r w:rsidRPr="00852214">
              <w:rPr>
                <w:rFonts w:ascii="Times New Roman" w:hAnsi="Times New Roman" w:cs="Times New Roman"/>
                <w:sz w:val="24"/>
                <w:szCs w:val="24"/>
                <w:lang w:eastAsia="en-GB"/>
              </w:rPr>
              <w:t>на право на</w:t>
            </w:r>
            <w:proofErr w:type="gramEnd"/>
            <w:r w:rsidRPr="00852214">
              <w:rPr>
                <w:rFonts w:ascii="Times New Roman" w:hAnsi="Times New Roman" w:cs="Times New Roman"/>
                <w:sz w:val="24"/>
                <w:szCs w:val="24"/>
                <w:lang w:eastAsia="en-GB"/>
              </w:rPr>
              <w:t xml:space="preserve"> забастовку</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4.62</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0.74</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4.79</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0.43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1.95</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81</w:t>
            </w:r>
          </w:p>
        </w:tc>
        <w:tc>
          <w:tcPr>
            <w:tcW w:w="2195" w:type="pct"/>
            <w:shd w:val="clear" w:color="000000" w:fill="FFFFFF"/>
            <w:hideMark/>
          </w:tcPr>
          <w:p w:rsidR="00EF46C3"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Исключение работников </w:t>
            </w:r>
            <w:proofErr w:type="gramStart"/>
            <w:r w:rsidRPr="00852214">
              <w:rPr>
                <w:rFonts w:ascii="Times New Roman" w:hAnsi="Times New Roman" w:cs="Times New Roman"/>
                <w:sz w:val="24"/>
                <w:szCs w:val="24"/>
                <w:lang w:eastAsia="en-GB"/>
              </w:rPr>
              <w:t>с права</w:t>
            </w:r>
            <w:proofErr w:type="gramEnd"/>
            <w:r w:rsidRPr="00852214">
              <w:rPr>
                <w:rFonts w:ascii="Times New Roman" w:hAnsi="Times New Roman" w:cs="Times New Roman"/>
                <w:sz w:val="24"/>
                <w:szCs w:val="24"/>
                <w:lang w:eastAsia="en-GB"/>
              </w:rPr>
              <w:t xml:space="preserve"> на забастовку</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4.16</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0.89</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4.29</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1.82</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82</w:t>
            </w:r>
          </w:p>
        </w:tc>
        <w:tc>
          <w:tcPr>
            <w:tcW w:w="2195" w:type="pct"/>
            <w:shd w:val="clear" w:color="000000" w:fill="FFFFFF"/>
            <w:hideMark/>
          </w:tcPr>
          <w:p w:rsidR="00EF46C3"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Исключение/ограничение на основе цели и/или типа забастовки</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2.77</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1.25</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2.86</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0.95</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1.46</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83</w:t>
            </w:r>
          </w:p>
        </w:tc>
        <w:tc>
          <w:tcPr>
            <w:tcW w:w="2195" w:type="pct"/>
            <w:shd w:val="clear" w:color="000000" w:fill="FFFFFF"/>
            <w:hideMark/>
          </w:tcPr>
          <w:p w:rsidR="00EF46C3"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Положения в законодательстве, предусматривающие приостановление и/или объявление незаконности забастовок административным органом</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3.16</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0.89</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3.36</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1.59</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84</w:t>
            </w:r>
          </w:p>
        </w:tc>
        <w:tc>
          <w:tcPr>
            <w:tcW w:w="2195" w:type="pct"/>
            <w:shd w:val="clear" w:color="000000" w:fill="FFFFFF"/>
            <w:hideMark/>
          </w:tcPr>
          <w:p w:rsidR="00EF46C3"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Отсутствие компенсационных гарантий в отношении законных ограничений права на забастовку</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3.08</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1.12</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3.21</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1.55</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85</w:t>
            </w:r>
          </w:p>
        </w:tc>
        <w:tc>
          <w:tcPr>
            <w:tcW w:w="2195" w:type="pct"/>
            <w:shd w:val="clear" w:color="000000" w:fill="FFFFFF"/>
            <w:hideMark/>
          </w:tcPr>
          <w:p w:rsidR="00EF46C3" w:rsidRPr="00852214" w:rsidRDefault="00D51602" w:rsidP="00852214">
            <w:pPr>
              <w:spacing w:before="100" w:beforeAutospacing="1" w:after="100" w:afterAutospacing="1" w:line="276" w:lineRule="auto"/>
              <w:jc w:val="both"/>
              <w:rPr>
                <w:rFonts w:ascii="Times New Roman" w:hAnsi="Times New Roman" w:cs="Times New Roman"/>
                <w:sz w:val="24"/>
                <w:szCs w:val="24"/>
                <w:lang w:val="en-US" w:eastAsia="en-GB"/>
              </w:rPr>
            </w:pPr>
            <w:proofErr w:type="spellStart"/>
            <w:r w:rsidRPr="00852214">
              <w:rPr>
                <w:rFonts w:ascii="Times New Roman" w:hAnsi="Times New Roman" w:cs="Times New Roman"/>
                <w:sz w:val="24"/>
                <w:szCs w:val="24"/>
                <w:lang w:val="en-US" w:eastAsia="en-GB"/>
              </w:rPr>
              <w:t>Нарушения</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определения</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минимальных</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услуг</w:t>
            </w:r>
            <w:proofErr w:type="spellEnd"/>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val="en-US"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2.77</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0.70</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2.79</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0.43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1.45</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86</w:t>
            </w:r>
          </w:p>
        </w:tc>
        <w:tc>
          <w:tcPr>
            <w:tcW w:w="2195" w:type="pct"/>
            <w:shd w:val="clear" w:color="000000" w:fill="FFFFFF"/>
            <w:hideMark/>
          </w:tcPr>
          <w:p w:rsidR="00EF46C3" w:rsidRPr="00852214" w:rsidRDefault="00D51602" w:rsidP="00852214">
            <w:pPr>
              <w:spacing w:before="100" w:beforeAutospacing="1" w:after="100" w:afterAutospacing="1" w:line="276" w:lineRule="auto"/>
              <w:jc w:val="both"/>
              <w:rPr>
                <w:rFonts w:ascii="Times New Roman" w:hAnsi="Times New Roman" w:cs="Times New Roman"/>
                <w:sz w:val="24"/>
                <w:szCs w:val="24"/>
                <w:lang w:val="en-US" w:eastAsia="en-GB"/>
              </w:rPr>
            </w:pPr>
            <w:proofErr w:type="spellStart"/>
            <w:r w:rsidRPr="00852214">
              <w:rPr>
                <w:rFonts w:ascii="Times New Roman" w:hAnsi="Times New Roman" w:cs="Times New Roman"/>
                <w:sz w:val="24"/>
                <w:szCs w:val="24"/>
                <w:lang w:val="en-US" w:eastAsia="en-GB"/>
              </w:rPr>
              <w:t>Принудительный</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арбитраж</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предоставляемый</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забастовкам</w:t>
            </w:r>
            <w:proofErr w:type="spellEnd"/>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val="en-US"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3.54</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1.22</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3.57</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0.94</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1.64</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87</w:t>
            </w:r>
          </w:p>
        </w:tc>
        <w:tc>
          <w:tcPr>
            <w:tcW w:w="2195" w:type="pct"/>
            <w:shd w:val="clear" w:color="000000" w:fill="FFFFFF"/>
            <w:hideMark/>
          </w:tcPr>
          <w:p w:rsidR="00EF46C3"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Чрезмерные предпосылки, необходимые </w:t>
            </w:r>
            <w:r w:rsidRPr="00852214">
              <w:rPr>
                <w:rFonts w:ascii="Times New Roman" w:hAnsi="Times New Roman" w:cs="Times New Roman"/>
                <w:sz w:val="24"/>
                <w:szCs w:val="24"/>
                <w:lang w:eastAsia="en-GB"/>
              </w:rPr>
              <w:lastRenderedPageBreak/>
              <w:t>для осуществления права на забастовку</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lastRenderedPageBreak/>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3.54</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0.85</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3.86</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1.71</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lastRenderedPageBreak/>
              <w:t>88</w:t>
            </w:r>
          </w:p>
        </w:tc>
        <w:tc>
          <w:tcPr>
            <w:tcW w:w="2195" w:type="pct"/>
            <w:shd w:val="clear" w:color="000000" w:fill="FFFFFF"/>
            <w:hideMark/>
          </w:tcPr>
          <w:p w:rsidR="00EF46C3"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Акты вмешательства во время действия забастовки</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3.31</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1.07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3.43</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0.65</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1.61</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89</w:t>
            </w:r>
          </w:p>
        </w:tc>
        <w:tc>
          <w:tcPr>
            <w:tcW w:w="2195" w:type="pct"/>
            <w:shd w:val="clear" w:color="000000" w:fill="FFFFFF"/>
            <w:hideMark/>
          </w:tcPr>
          <w:p w:rsidR="00EF46C3"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Наложение чрезмерных санкций в случае законных забастовок</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4.08</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1.07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4.29</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1.82</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90</w:t>
            </w:r>
          </w:p>
        </w:tc>
        <w:tc>
          <w:tcPr>
            <w:tcW w:w="2195" w:type="pct"/>
            <w:shd w:val="clear" w:color="000000" w:fill="FFFFFF"/>
            <w:hideMark/>
          </w:tcPr>
          <w:p w:rsidR="00EF46C3" w:rsidRPr="00852214" w:rsidRDefault="00FD60D8"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Отсутствие гарантии надлежащего судебного разбирательства и/или нарушения справедливости</w:t>
            </w:r>
            <w:r w:rsidR="00EF46C3" w:rsidRPr="00852214">
              <w:rPr>
                <w:rFonts w:ascii="Times New Roman" w:hAnsi="Times New Roman" w:cs="Times New Roman"/>
                <w:sz w:val="24"/>
                <w:szCs w:val="24"/>
                <w:lang w:eastAsia="en-GB"/>
              </w:rPr>
              <w:t xml:space="preserve"> </w:t>
            </w:r>
            <w:proofErr w:type="spellStart"/>
            <w:r w:rsidR="00EF46C3" w:rsidRPr="00852214">
              <w:rPr>
                <w:rFonts w:ascii="Times New Roman" w:hAnsi="Times New Roman" w:cs="Times New Roman"/>
                <w:sz w:val="24"/>
                <w:szCs w:val="24"/>
                <w:lang w:val="en-US" w:eastAsia="en-GB"/>
              </w:rPr>
              <w:t>nos</w:t>
            </w:r>
            <w:proofErr w:type="spellEnd"/>
            <w:r w:rsidR="00EF46C3" w:rsidRPr="00852214">
              <w:rPr>
                <w:rFonts w:ascii="Times New Roman" w:hAnsi="Times New Roman" w:cs="Times New Roman"/>
                <w:sz w:val="24"/>
                <w:szCs w:val="24"/>
                <w:lang w:eastAsia="en-GB"/>
              </w:rPr>
              <w:t>. 80-89</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4.08</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1.17</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4.21</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0.89</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1.80</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219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val="en-US" w:eastAsia="en-GB"/>
              </w:rPr>
              <w:t>Vb</w:t>
            </w:r>
            <w:proofErr w:type="spellEnd"/>
            <w:r w:rsidRPr="00852214">
              <w:rPr>
                <w:rFonts w:ascii="Times New Roman" w:hAnsi="Times New Roman" w:cs="Times New Roman"/>
                <w:b/>
                <w:bCs/>
                <w:sz w:val="24"/>
                <w:szCs w:val="24"/>
                <w:lang w:eastAsia="en-GB"/>
              </w:rPr>
              <w:t xml:space="preserve">. </w:t>
            </w:r>
            <w:r w:rsidR="00B83CB0" w:rsidRPr="00852214">
              <w:rPr>
                <w:rFonts w:ascii="Times New Roman" w:hAnsi="Times New Roman" w:cs="Times New Roman"/>
                <w:b/>
                <w:bCs/>
                <w:sz w:val="24"/>
                <w:szCs w:val="24"/>
                <w:lang w:eastAsia="en-GB"/>
              </w:rPr>
              <w:t>Право на забастовку на практике</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r>
      <w:tr w:rsidR="00D51602" w:rsidRPr="00852214" w:rsidTr="00EF46C3">
        <w:trPr>
          <w:trHeight w:val="255"/>
        </w:trPr>
        <w:tc>
          <w:tcPr>
            <w:tcW w:w="26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91</w:t>
            </w:r>
          </w:p>
        </w:tc>
        <w:tc>
          <w:tcPr>
            <w:tcW w:w="219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Общий запрет </w:t>
            </w:r>
            <w:proofErr w:type="gramStart"/>
            <w:r w:rsidRPr="00852214">
              <w:rPr>
                <w:rFonts w:ascii="Times New Roman" w:hAnsi="Times New Roman" w:cs="Times New Roman"/>
                <w:sz w:val="24"/>
                <w:szCs w:val="24"/>
                <w:lang w:eastAsia="en-GB"/>
              </w:rPr>
              <w:t>на право на</w:t>
            </w:r>
            <w:proofErr w:type="gramEnd"/>
            <w:r w:rsidRPr="00852214">
              <w:rPr>
                <w:rFonts w:ascii="Times New Roman" w:hAnsi="Times New Roman" w:cs="Times New Roman"/>
                <w:sz w:val="24"/>
                <w:szCs w:val="24"/>
                <w:lang w:eastAsia="en-GB"/>
              </w:rPr>
              <w:t xml:space="preserve"> забастовку</w:t>
            </w:r>
          </w:p>
        </w:tc>
        <w:tc>
          <w:tcPr>
            <w:tcW w:w="12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48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4.62</w:t>
            </w:r>
          </w:p>
        </w:tc>
        <w:tc>
          <w:tcPr>
            <w:tcW w:w="33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0.63</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4.71</w:t>
            </w:r>
          </w:p>
        </w:tc>
        <w:tc>
          <w:tcPr>
            <w:tcW w:w="33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0.47</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1.93</w:t>
            </w:r>
          </w:p>
        </w:tc>
      </w:tr>
      <w:tr w:rsidR="00D51602" w:rsidRPr="00852214" w:rsidTr="00EF46C3">
        <w:trPr>
          <w:trHeight w:val="255"/>
        </w:trPr>
        <w:tc>
          <w:tcPr>
            <w:tcW w:w="26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92</w:t>
            </w:r>
          </w:p>
        </w:tc>
        <w:tc>
          <w:tcPr>
            <w:tcW w:w="219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Исключение работников </w:t>
            </w:r>
            <w:proofErr w:type="gramStart"/>
            <w:r w:rsidRPr="00852214">
              <w:rPr>
                <w:rFonts w:ascii="Times New Roman" w:hAnsi="Times New Roman" w:cs="Times New Roman"/>
                <w:sz w:val="24"/>
                <w:szCs w:val="24"/>
                <w:lang w:eastAsia="en-GB"/>
              </w:rPr>
              <w:t>с права</w:t>
            </w:r>
            <w:proofErr w:type="gramEnd"/>
            <w:r w:rsidRPr="00852214">
              <w:rPr>
                <w:rFonts w:ascii="Times New Roman" w:hAnsi="Times New Roman" w:cs="Times New Roman"/>
                <w:sz w:val="24"/>
                <w:szCs w:val="24"/>
                <w:lang w:eastAsia="en-GB"/>
              </w:rPr>
              <w:t xml:space="preserve"> на забастовку</w:t>
            </w:r>
          </w:p>
        </w:tc>
        <w:tc>
          <w:tcPr>
            <w:tcW w:w="12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4.16</w:t>
            </w:r>
          </w:p>
        </w:tc>
        <w:tc>
          <w:tcPr>
            <w:tcW w:w="33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0.58</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4.29</w:t>
            </w:r>
          </w:p>
        </w:tc>
        <w:tc>
          <w:tcPr>
            <w:tcW w:w="33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0.61</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1.82</w:t>
            </w:r>
          </w:p>
        </w:tc>
      </w:tr>
      <w:tr w:rsidR="00D51602" w:rsidRPr="00852214" w:rsidTr="00EF46C3">
        <w:trPr>
          <w:trHeight w:val="255"/>
        </w:trPr>
        <w:tc>
          <w:tcPr>
            <w:tcW w:w="26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93</w:t>
            </w:r>
          </w:p>
        </w:tc>
        <w:tc>
          <w:tcPr>
            <w:tcW w:w="219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Исключение/ограничение на основе цели и/или типа забастовки</w:t>
            </w:r>
          </w:p>
        </w:tc>
        <w:tc>
          <w:tcPr>
            <w:tcW w:w="12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3.08</w:t>
            </w:r>
          </w:p>
        </w:tc>
        <w:tc>
          <w:tcPr>
            <w:tcW w:w="33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1.14</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3.21</w:t>
            </w:r>
          </w:p>
        </w:tc>
        <w:tc>
          <w:tcPr>
            <w:tcW w:w="33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0.80</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1.55</w:t>
            </w:r>
          </w:p>
        </w:tc>
      </w:tr>
      <w:tr w:rsidR="00D51602" w:rsidRPr="00852214" w:rsidTr="00EF46C3">
        <w:trPr>
          <w:trHeight w:val="255"/>
        </w:trPr>
        <w:tc>
          <w:tcPr>
            <w:tcW w:w="26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94</w:t>
            </w:r>
          </w:p>
        </w:tc>
        <w:tc>
          <w:tcPr>
            <w:tcW w:w="219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Положения в законодательстве, предусматривающие приостановление и/или объявление незаконности забастовок административным органом</w:t>
            </w:r>
          </w:p>
        </w:tc>
        <w:tc>
          <w:tcPr>
            <w:tcW w:w="12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3.77</w:t>
            </w:r>
          </w:p>
        </w:tc>
        <w:tc>
          <w:tcPr>
            <w:tcW w:w="33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0.70</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3.79</w:t>
            </w:r>
          </w:p>
        </w:tc>
        <w:tc>
          <w:tcPr>
            <w:tcW w:w="33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0.58</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1.70</w:t>
            </w:r>
          </w:p>
        </w:tc>
      </w:tr>
      <w:tr w:rsidR="00D51602" w:rsidRPr="00852214" w:rsidTr="00EF46C3">
        <w:trPr>
          <w:trHeight w:val="255"/>
        </w:trPr>
        <w:tc>
          <w:tcPr>
            <w:tcW w:w="26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95</w:t>
            </w:r>
          </w:p>
        </w:tc>
        <w:tc>
          <w:tcPr>
            <w:tcW w:w="219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Отсутствие компенсационных гарантий в отношении законных ограничений права на забастовку</w:t>
            </w:r>
          </w:p>
        </w:tc>
        <w:tc>
          <w:tcPr>
            <w:tcW w:w="12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3.17</w:t>
            </w:r>
          </w:p>
        </w:tc>
        <w:tc>
          <w:tcPr>
            <w:tcW w:w="33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0.90</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3.36</w:t>
            </w:r>
          </w:p>
        </w:tc>
        <w:tc>
          <w:tcPr>
            <w:tcW w:w="33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0.74</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1.59</w:t>
            </w:r>
          </w:p>
        </w:tc>
      </w:tr>
      <w:tr w:rsidR="00D51602" w:rsidRPr="00852214" w:rsidTr="00EF46C3">
        <w:trPr>
          <w:trHeight w:val="255"/>
        </w:trPr>
        <w:tc>
          <w:tcPr>
            <w:tcW w:w="26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96</w:t>
            </w:r>
          </w:p>
        </w:tc>
        <w:tc>
          <w:tcPr>
            <w:tcW w:w="219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val="en-US" w:eastAsia="en-GB"/>
              </w:rPr>
            </w:pPr>
            <w:proofErr w:type="spellStart"/>
            <w:r w:rsidRPr="00852214">
              <w:rPr>
                <w:rFonts w:ascii="Times New Roman" w:hAnsi="Times New Roman" w:cs="Times New Roman"/>
                <w:sz w:val="24"/>
                <w:szCs w:val="24"/>
                <w:lang w:val="en-US" w:eastAsia="en-GB"/>
              </w:rPr>
              <w:t>Нарушения</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определения</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минимальных</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услуг</w:t>
            </w:r>
            <w:proofErr w:type="spellEnd"/>
          </w:p>
        </w:tc>
        <w:tc>
          <w:tcPr>
            <w:tcW w:w="12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val="en-US"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3.08</w:t>
            </w:r>
          </w:p>
        </w:tc>
        <w:tc>
          <w:tcPr>
            <w:tcW w:w="33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0.73</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3.07</w:t>
            </w:r>
          </w:p>
        </w:tc>
        <w:tc>
          <w:tcPr>
            <w:tcW w:w="33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0.62</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1.52</w:t>
            </w:r>
          </w:p>
        </w:tc>
      </w:tr>
      <w:tr w:rsidR="00D51602" w:rsidRPr="00852214" w:rsidTr="00EF46C3">
        <w:trPr>
          <w:trHeight w:val="255"/>
        </w:trPr>
        <w:tc>
          <w:tcPr>
            <w:tcW w:w="26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97</w:t>
            </w:r>
          </w:p>
        </w:tc>
        <w:tc>
          <w:tcPr>
            <w:tcW w:w="219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val="en-US" w:eastAsia="en-GB"/>
              </w:rPr>
            </w:pPr>
            <w:proofErr w:type="spellStart"/>
            <w:r w:rsidRPr="00852214">
              <w:rPr>
                <w:rFonts w:ascii="Times New Roman" w:hAnsi="Times New Roman" w:cs="Times New Roman"/>
                <w:sz w:val="24"/>
                <w:szCs w:val="24"/>
                <w:lang w:val="en-US" w:eastAsia="en-GB"/>
              </w:rPr>
              <w:t>Принудительный</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арбитраж</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предоставляемый</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забастовкам</w:t>
            </w:r>
            <w:proofErr w:type="spellEnd"/>
          </w:p>
        </w:tc>
        <w:tc>
          <w:tcPr>
            <w:tcW w:w="12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val="en-US"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3.54</w:t>
            </w:r>
          </w:p>
        </w:tc>
        <w:tc>
          <w:tcPr>
            <w:tcW w:w="33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0.76</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3.43</w:t>
            </w:r>
          </w:p>
        </w:tc>
        <w:tc>
          <w:tcPr>
            <w:tcW w:w="33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0.65</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1.61</w:t>
            </w:r>
          </w:p>
        </w:tc>
      </w:tr>
      <w:tr w:rsidR="00D51602" w:rsidRPr="00852214" w:rsidTr="00EF46C3">
        <w:trPr>
          <w:trHeight w:val="255"/>
        </w:trPr>
        <w:tc>
          <w:tcPr>
            <w:tcW w:w="26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98</w:t>
            </w:r>
          </w:p>
        </w:tc>
        <w:tc>
          <w:tcPr>
            <w:tcW w:w="219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Чрезмерные предпосылки, необходимые для осуществления права на забастовку</w:t>
            </w:r>
          </w:p>
        </w:tc>
        <w:tc>
          <w:tcPr>
            <w:tcW w:w="12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3.54</w:t>
            </w:r>
          </w:p>
        </w:tc>
        <w:tc>
          <w:tcPr>
            <w:tcW w:w="33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0.76</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3.71</w:t>
            </w:r>
          </w:p>
        </w:tc>
        <w:tc>
          <w:tcPr>
            <w:tcW w:w="33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0.61</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1.68</w:t>
            </w:r>
          </w:p>
        </w:tc>
      </w:tr>
      <w:tr w:rsidR="00D51602" w:rsidRPr="00852214" w:rsidTr="00EF46C3">
        <w:trPr>
          <w:trHeight w:val="255"/>
        </w:trPr>
        <w:tc>
          <w:tcPr>
            <w:tcW w:w="26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99</w:t>
            </w:r>
          </w:p>
        </w:tc>
        <w:tc>
          <w:tcPr>
            <w:tcW w:w="219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Акты вмешательства во время действия забастовки</w:t>
            </w:r>
          </w:p>
        </w:tc>
        <w:tc>
          <w:tcPr>
            <w:tcW w:w="12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3.54</w:t>
            </w:r>
          </w:p>
        </w:tc>
        <w:tc>
          <w:tcPr>
            <w:tcW w:w="33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0.94</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3.57</w:t>
            </w:r>
          </w:p>
        </w:tc>
        <w:tc>
          <w:tcPr>
            <w:tcW w:w="33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0.76</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1.64</w:t>
            </w:r>
          </w:p>
        </w:tc>
      </w:tr>
      <w:tr w:rsidR="00D51602" w:rsidRPr="00852214" w:rsidTr="00EF46C3">
        <w:trPr>
          <w:trHeight w:val="255"/>
        </w:trPr>
        <w:tc>
          <w:tcPr>
            <w:tcW w:w="26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100</w:t>
            </w:r>
          </w:p>
        </w:tc>
        <w:tc>
          <w:tcPr>
            <w:tcW w:w="219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Наложение чрезмерных санкций в случае законных забастовок</w:t>
            </w:r>
          </w:p>
        </w:tc>
        <w:tc>
          <w:tcPr>
            <w:tcW w:w="125" w:type="pct"/>
            <w:shd w:val="clear" w:color="000000" w:fill="FFFFFF"/>
            <w:hideMark/>
          </w:tcPr>
          <w:p w:rsidR="00D51602"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4.08</w:t>
            </w:r>
          </w:p>
        </w:tc>
        <w:tc>
          <w:tcPr>
            <w:tcW w:w="33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0.92</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4.29</w:t>
            </w:r>
          </w:p>
        </w:tc>
        <w:tc>
          <w:tcPr>
            <w:tcW w:w="333"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0.61</w:t>
            </w:r>
          </w:p>
        </w:tc>
        <w:tc>
          <w:tcPr>
            <w:tcW w:w="125"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D51602" w:rsidRPr="00852214" w:rsidRDefault="00D51602"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1.82</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101</w:t>
            </w:r>
          </w:p>
        </w:tc>
        <w:tc>
          <w:tcPr>
            <w:tcW w:w="2195" w:type="pct"/>
            <w:shd w:val="clear" w:color="000000" w:fill="FFFFFF"/>
            <w:hideMark/>
          </w:tcPr>
          <w:p w:rsidR="00EF46C3" w:rsidRPr="00852214" w:rsidRDefault="00D51602"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Отсутствие гарантии надлежащего судебного разбирательства и/или нарушения справедливости </w:t>
            </w:r>
            <w:r w:rsidR="00EF46C3" w:rsidRPr="00852214">
              <w:rPr>
                <w:rFonts w:ascii="Times New Roman" w:hAnsi="Times New Roman" w:cs="Times New Roman"/>
                <w:sz w:val="24"/>
                <w:szCs w:val="24"/>
                <w:lang w:val="en-US" w:eastAsia="en-GB"/>
              </w:rPr>
              <w:t>no</w:t>
            </w:r>
            <w:r w:rsidR="00EF46C3" w:rsidRPr="00852214">
              <w:rPr>
                <w:rFonts w:ascii="Times New Roman" w:hAnsi="Times New Roman" w:cs="Times New Roman"/>
                <w:sz w:val="24"/>
                <w:szCs w:val="24"/>
                <w:lang w:eastAsia="en-GB"/>
              </w:rPr>
              <w:t>. 100</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4.08</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0.92</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4.21</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0.70</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1.80</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102</w:t>
            </w:r>
          </w:p>
        </w:tc>
        <w:tc>
          <w:tcPr>
            <w:tcW w:w="2195" w:type="pct"/>
            <w:shd w:val="clear" w:color="000000" w:fill="FFFFFF"/>
            <w:hideMark/>
          </w:tcPr>
          <w:p w:rsidR="00EF46C3" w:rsidRPr="00852214" w:rsidRDefault="00FD60D8"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Отсутствие гарантии надлежащего судебного разбирательства и/или нарушения справедливости </w:t>
            </w:r>
            <w:proofErr w:type="spellStart"/>
            <w:r w:rsidR="00EF46C3" w:rsidRPr="00852214">
              <w:rPr>
                <w:rFonts w:ascii="Times New Roman" w:hAnsi="Times New Roman" w:cs="Times New Roman"/>
                <w:sz w:val="24"/>
                <w:szCs w:val="24"/>
                <w:lang w:val="en-US" w:eastAsia="en-GB"/>
              </w:rPr>
              <w:t>nos</w:t>
            </w:r>
            <w:proofErr w:type="spellEnd"/>
            <w:r w:rsidR="00EF46C3" w:rsidRPr="00852214">
              <w:rPr>
                <w:rFonts w:ascii="Times New Roman" w:hAnsi="Times New Roman" w:cs="Times New Roman"/>
                <w:sz w:val="24"/>
                <w:szCs w:val="24"/>
                <w:lang w:eastAsia="en-GB"/>
              </w:rPr>
              <w:t>. 91-101</w:t>
            </w:r>
          </w:p>
        </w:tc>
        <w:tc>
          <w:tcPr>
            <w:tcW w:w="125" w:type="pct"/>
            <w:shd w:val="clear" w:color="000000" w:fill="FFFFFF"/>
            <w:hideMark/>
          </w:tcPr>
          <w:p w:rsidR="00EF46C3" w:rsidRPr="00852214" w:rsidRDefault="00EF46C3"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3.93</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1.11</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4.07</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0.83</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1.77</w:t>
            </w:r>
          </w:p>
        </w:tc>
      </w:tr>
      <w:tr w:rsidR="00EF46C3" w:rsidRPr="00852214" w:rsidTr="00EF46C3">
        <w:trPr>
          <w:trHeight w:val="255"/>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219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r>
      <w:tr w:rsidR="00EF46C3" w:rsidRPr="00852214" w:rsidTr="00EF46C3">
        <w:trPr>
          <w:trHeight w:val="300"/>
        </w:trPr>
        <w:tc>
          <w:tcPr>
            <w:tcW w:w="26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2195" w:type="pct"/>
            <w:shd w:val="clear" w:color="000000" w:fill="FFFFFF"/>
            <w:noWrap/>
            <w:hideMark/>
          </w:tcPr>
          <w:p w:rsidR="00EF46C3" w:rsidRPr="00852214" w:rsidRDefault="00FD73A4"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Среднее</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8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3.90</w:t>
            </w:r>
          </w:p>
        </w:tc>
        <w:tc>
          <w:tcPr>
            <w:tcW w:w="33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0.85</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47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4.01</w:t>
            </w:r>
          </w:p>
        </w:tc>
        <w:tc>
          <w:tcPr>
            <w:tcW w:w="333"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0.62</w:t>
            </w:r>
          </w:p>
        </w:tc>
        <w:tc>
          <w:tcPr>
            <w:tcW w:w="125"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39" w:type="pct"/>
            <w:shd w:val="clear" w:color="000000" w:fill="FFFFFF"/>
            <w:noWrap/>
            <w:hideMark/>
          </w:tcPr>
          <w:p w:rsidR="00EF46C3" w:rsidRPr="00852214" w:rsidRDefault="00EF46C3"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1.75</w:t>
            </w:r>
          </w:p>
        </w:tc>
      </w:tr>
    </w:tbl>
    <w:p w:rsidR="008A747C" w:rsidRDefault="008A747C"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p>
    <w:p w:rsidR="00852214" w:rsidRDefault="00852214"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p>
    <w:p w:rsidR="00852214" w:rsidRPr="00852214" w:rsidRDefault="00852214"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p>
    <w:tbl>
      <w:tblPr>
        <w:tblW w:w="10593" w:type="dxa"/>
        <w:tblInd w:w="-836" w:type="dxa"/>
        <w:tblBorders>
          <w:insideH w:val="single" w:sz="4" w:space="0" w:color="auto"/>
        </w:tblBorders>
        <w:tblCellMar>
          <w:left w:w="0" w:type="dxa"/>
          <w:right w:w="0" w:type="dxa"/>
        </w:tblCellMar>
        <w:tblLook w:val="04A0" w:firstRow="1" w:lastRow="0" w:firstColumn="1" w:lastColumn="0" w:noHBand="0" w:noVBand="1"/>
      </w:tblPr>
      <w:tblGrid>
        <w:gridCol w:w="270"/>
        <w:gridCol w:w="5147"/>
        <w:gridCol w:w="90"/>
        <w:gridCol w:w="1019"/>
        <w:gridCol w:w="1035"/>
        <w:gridCol w:w="90"/>
        <w:gridCol w:w="916"/>
        <w:gridCol w:w="1217"/>
        <w:gridCol w:w="90"/>
        <w:gridCol w:w="765"/>
      </w:tblGrid>
      <w:tr w:rsidR="00D51602" w:rsidRPr="00852214" w:rsidTr="00D51602">
        <w:trPr>
          <w:trHeight w:val="375"/>
        </w:trPr>
        <w:tc>
          <w:tcPr>
            <w:tcW w:w="10593" w:type="dxa"/>
            <w:gridSpan w:val="10"/>
            <w:tcBorders>
              <w:top w:val="nil"/>
              <w:bottom w:val="nil"/>
            </w:tcBorders>
            <w:shd w:val="clear" w:color="000000" w:fill="FFFFFF"/>
            <w:noWrap/>
            <w:tcMar>
              <w:top w:w="15" w:type="dxa"/>
              <w:left w:w="15" w:type="dxa"/>
              <w:bottom w:w="0" w:type="dxa"/>
              <w:right w:w="15" w:type="dxa"/>
            </w:tcMar>
            <w:hideMark/>
          </w:tcPr>
          <w:p w:rsidR="00D51602" w:rsidRPr="00852214" w:rsidRDefault="00D51602"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sz w:val="24"/>
                <w:szCs w:val="24"/>
              </w:rPr>
              <w:lastRenderedPageBreak/>
              <w:br w:type="page"/>
            </w:r>
            <w:r w:rsidRPr="00852214">
              <w:rPr>
                <w:rFonts w:ascii="Times New Roman" w:hAnsi="Times New Roman" w:cs="Times New Roman"/>
                <w:sz w:val="24"/>
                <w:szCs w:val="24"/>
              </w:rPr>
              <w:br w:type="page"/>
            </w:r>
            <w:r w:rsidRPr="00852214">
              <w:rPr>
                <w:rFonts w:ascii="Times New Roman" w:hAnsi="Times New Roman" w:cs="Times New Roman"/>
                <w:b/>
                <w:bCs/>
                <w:color w:val="000000"/>
                <w:sz w:val="24"/>
                <w:szCs w:val="24"/>
              </w:rPr>
              <w:t xml:space="preserve">Таблица 2: </w:t>
            </w:r>
            <w:r w:rsidRPr="00852214">
              <w:rPr>
                <w:rFonts w:ascii="Times New Roman" w:hAnsi="Times New Roman" w:cs="Times New Roman"/>
                <w:b/>
                <w:bCs/>
                <w:color w:val="000000"/>
                <w:sz w:val="24"/>
                <w:szCs w:val="24"/>
                <w:lang w:eastAsia="en-GB"/>
              </w:rPr>
              <w:t xml:space="preserve">Критерии оценки, результаты метода и веса </w:t>
            </w:r>
            <w:proofErr w:type="spellStart"/>
            <w:r w:rsidRPr="00852214">
              <w:rPr>
                <w:rFonts w:ascii="Times New Roman" w:hAnsi="Times New Roman" w:cs="Times New Roman"/>
                <w:b/>
                <w:bCs/>
                <w:color w:val="000000"/>
                <w:sz w:val="24"/>
                <w:szCs w:val="24"/>
                <w:lang w:eastAsia="en-GB"/>
              </w:rPr>
              <w:t>Delphi</w:t>
            </w:r>
            <w:proofErr w:type="spellEnd"/>
          </w:p>
        </w:tc>
      </w:tr>
      <w:tr w:rsidR="00D51602" w:rsidRPr="00852214" w:rsidTr="00D51602">
        <w:trPr>
          <w:trHeight w:val="587"/>
        </w:trPr>
        <w:tc>
          <w:tcPr>
            <w:tcW w:w="0" w:type="auto"/>
            <w:tcBorders>
              <w:top w:val="nil"/>
              <w:bottom w:val="nil"/>
            </w:tcBorders>
            <w:shd w:val="clear" w:color="000000" w:fill="FFFFFF"/>
            <w:noWrap/>
            <w:tcMar>
              <w:top w:w="15" w:type="dxa"/>
              <w:left w:w="15" w:type="dxa"/>
              <w:bottom w:w="0" w:type="dxa"/>
              <w:right w:w="15" w:type="dxa"/>
            </w:tcMar>
            <w:hideMark/>
          </w:tcPr>
          <w:p w:rsidR="00D51602" w:rsidRPr="00852214" w:rsidRDefault="00D51602" w:rsidP="00852214">
            <w:pPr>
              <w:spacing w:before="100" w:beforeAutospacing="1" w:after="100" w:afterAutospacing="1" w:line="276" w:lineRule="auto"/>
              <w:jc w:val="both"/>
              <w:rPr>
                <w:rFonts w:ascii="Times New Roman" w:hAnsi="Times New Roman" w:cs="Times New Roman"/>
                <w:b/>
                <w:bCs/>
                <w:sz w:val="24"/>
                <w:szCs w:val="24"/>
              </w:rPr>
            </w:pPr>
            <w:r w:rsidRPr="00852214">
              <w:rPr>
                <w:rFonts w:ascii="Times New Roman" w:hAnsi="Times New Roman" w:cs="Times New Roman"/>
                <w:b/>
                <w:bCs/>
                <w:sz w:val="24"/>
                <w:szCs w:val="24"/>
                <w:lang w:val="en-US"/>
              </w:rPr>
              <w:t> </w:t>
            </w:r>
          </w:p>
        </w:tc>
        <w:tc>
          <w:tcPr>
            <w:tcW w:w="5147" w:type="dxa"/>
            <w:tcBorders>
              <w:top w:val="nil"/>
              <w:bottom w:val="nil"/>
            </w:tcBorders>
            <w:shd w:val="clear" w:color="000000" w:fill="FFFFFF"/>
            <w:noWrap/>
            <w:tcMar>
              <w:top w:w="15" w:type="dxa"/>
              <w:left w:w="15" w:type="dxa"/>
              <w:bottom w:w="0" w:type="dxa"/>
              <w:right w:w="15" w:type="dxa"/>
            </w:tcMar>
            <w:hideMark/>
          </w:tcPr>
          <w:p w:rsidR="00D51602" w:rsidRPr="00852214" w:rsidRDefault="00D51602" w:rsidP="00852214">
            <w:pPr>
              <w:spacing w:before="100" w:beforeAutospacing="1" w:after="100" w:afterAutospacing="1" w:line="276" w:lineRule="auto"/>
              <w:jc w:val="both"/>
              <w:rPr>
                <w:rFonts w:ascii="Times New Roman" w:hAnsi="Times New Roman" w:cs="Times New Roman"/>
                <w:b/>
                <w:bCs/>
                <w:sz w:val="24"/>
                <w:szCs w:val="24"/>
              </w:rPr>
            </w:pPr>
            <w:r w:rsidRPr="00852214">
              <w:rPr>
                <w:rFonts w:ascii="Times New Roman" w:hAnsi="Times New Roman" w:cs="Times New Roman"/>
                <w:b/>
                <w:bCs/>
                <w:sz w:val="24"/>
                <w:szCs w:val="24"/>
                <w:lang w:val="en-US"/>
              </w:rPr>
              <w:t> </w:t>
            </w:r>
          </w:p>
        </w:tc>
        <w:tc>
          <w:tcPr>
            <w:tcW w:w="0" w:type="auto"/>
            <w:tcBorders>
              <w:top w:val="nil"/>
              <w:bottom w:val="nil"/>
            </w:tcBorders>
            <w:shd w:val="clear" w:color="000000" w:fill="FFFFFF"/>
            <w:noWrap/>
            <w:tcMar>
              <w:top w:w="15" w:type="dxa"/>
              <w:left w:w="15" w:type="dxa"/>
              <w:bottom w:w="0" w:type="dxa"/>
              <w:right w:w="15" w:type="dxa"/>
            </w:tcMar>
            <w:hideMark/>
          </w:tcPr>
          <w:p w:rsidR="00D51602" w:rsidRPr="00852214" w:rsidRDefault="00D51602"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lang w:val="en-US"/>
              </w:rPr>
              <w:t> </w:t>
            </w:r>
          </w:p>
        </w:tc>
        <w:tc>
          <w:tcPr>
            <w:tcW w:w="1019" w:type="dxa"/>
            <w:tcBorders>
              <w:top w:val="nil"/>
              <w:bottom w:val="nil"/>
            </w:tcBorders>
            <w:shd w:val="clear" w:color="000000" w:fill="FFFFFF"/>
            <w:noWrap/>
            <w:tcMar>
              <w:top w:w="15" w:type="dxa"/>
              <w:left w:w="15" w:type="dxa"/>
              <w:bottom w:w="0" w:type="dxa"/>
              <w:right w:w="15" w:type="dxa"/>
            </w:tcMar>
            <w:hideMark/>
          </w:tcPr>
          <w:p w:rsidR="00D51602" w:rsidRPr="00852214" w:rsidRDefault="00D51602"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lang w:val="en-US"/>
              </w:rPr>
              <w:t> </w:t>
            </w:r>
          </w:p>
        </w:tc>
        <w:tc>
          <w:tcPr>
            <w:tcW w:w="1035" w:type="dxa"/>
            <w:tcBorders>
              <w:top w:val="nil"/>
              <w:bottom w:val="nil"/>
            </w:tcBorders>
            <w:shd w:val="clear" w:color="000000" w:fill="FFFFFF"/>
            <w:noWrap/>
            <w:tcMar>
              <w:top w:w="15" w:type="dxa"/>
              <w:left w:w="15" w:type="dxa"/>
              <w:bottom w:w="0" w:type="dxa"/>
              <w:right w:w="15" w:type="dxa"/>
            </w:tcMar>
            <w:hideMark/>
          </w:tcPr>
          <w:p w:rsidR="00D51602" w:rsidRPr="00852214" w:rsidRDefault="00D51602"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lang w:val="en-US"/>
              </w:rPr>
              <w:t> </w:t>
            </w:r>
          </w:p>
        </w:tc>
        <w:tc>
          <w:tcPr>
            <w:tcW w:w="0" w:type="auto"/>
            <w:tcBorders>
              <w:top w:val="nil"/>
              <w:bottom w:val="nil"/>
            </w:tcBorders>
            <w:shd w:val="clear" w:color="000000" w:fill="FFFFFF"/>
            <w:noWrap/>
            <w:tcMar>
              <w:top w:w="15" w:type="dxa"/>
              <w:left w:w="15" w:type="dxa"/>
              <w:bottom w:w="0" w:type="dxa"/>
              <w:right w:w="15" w:type="dxa"/>
            </w:tcMar>
            <w:hideMark/>
          </w:tcPr>
          <w:p w:rsidR="00D51602" w:rsidRPr="00852214" w:rsidRDefault="00D51602"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lang w:val="en-US"/>
              </w:rPr>
              <w:t> </w:t>
            </w:r>
          </w:p>
        </w:tc>
        <w:tc>
          <w:tcPr>
            <w:tcW w:w="916" w:type="dxa"/>
            <w:tcBorders>
              <w:top w:val="nil"/>
              <w:bottom w:val="nil"/>
            </w:tcBorders>
            <w:shd w:val="clear" w:color="000000" w:fill="FFFFFF"/>
            <w:noWrap/>
            <w:tcMar>
              <w:top w:w="15" w:type="dxa"/>
              <w:left w:w="15" w:type="dxa"/>
              <w:bottom w:w="0" w:type="dxa"/>
              <w:right w:w="15" w:type="dxa"/>
            </w:tcMar>
            <w:hideMark/>
          </w:tcPr>
          <w:p w:rsidR="00D51602" w:rsidRPr="00852214" w:rsidRDefault="00D51602"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lang w:val="en-US"/>
              </w:rPr>
              <w:t> </w:t>
            </w:r>
          </w:p>
        </w:tc>
        <w:tc>
          <w:tcPr>
            <w:tcW w:w="1217" w:type="dxa"/>
            <w:tcBorders>
              <w:top w:val="nil"/>
              <w:bottom w:val="nil"/>
            </w:tcBorders>
            <w:shd w:val="clear" w:color="000000" w:fill="FFFFFF"/>
            <w:noWrap/>
            <w:tcMar>
              <w:top w:w="15" w:type="dxa"/>
              <w:left w:w="15" w:type="dxa"/>
              <w:bottom w:w="0" w:type="dxa"/>
              <w:right w:w="15" w:type="dxa"/>
            </w:tcMar>
            <w:hideMark/>
          </w:tcPr>
          <w:p w:rsidR="00D51602" w:rsidRPr="00852214" w:rsidRDefault="00D51602"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lang w:val="en-US"/>
              </w:rPr>
              <w:t> </w:t>
            </w:r>
          </w:p>
        </w:tc>
        <w:tc>
          <w:tcPr>
            <w:tcW w:w="0" w:type="auto"/>
            <w:tcBorders>
              <w:top w:val="nil"/>
              <w:bottom w:val="nil"/>
            </w:tcBorders>
            <w:shd w:val="clear" w:color="000000" w:fill="FFFFFF"/>
            <w:noWrap/>
            <w:tcMar>
              <w:top w:w="15" w:type="dxa"/>
              <w:left w:w="15" w:type="dxa"/>
              <w:bottom w:w="0" w:type="dxa"/>
              <w:right w:w="15" w:type="dxa"/>
            </w:tcMar>
            <w:hideMark/>
          </w:tcPr>
          <w:p w:rsidR="00D51602" w:rsidRPr="00852214" w:rsidRDefault="00D51602"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lang w:val="en-US"/>
              </w:rPr>
              <w:t> </w:t>
            </w:r>
          </w:p>
        </w:tc>
        <w:tc>
          <w:tcPr>
            <w:tcW w:w="765" w:type="dxa"/>
            <w:tcBorders>
              <w:top w:val="nil"/>
              <w:bottom w:val="nil"/>
            </w:tcBorders>
            <w:shd w:val="clear" w:color="000000" w:fill="FFFFFF"/>
            <w:noWrap/>
            <w:tcMar>
              <w:top w:w="15" w:type="dxa"/>
              <w:left w:w="15" w:type="dxa"/>
              <w:bottom w:w="0" w:type="dxa"/>
              <w:right w:w="15" w:type="dxa"/>
            </w:tcMar>
            <w:hideMark/>
          </w:tcPr>
          <w:p w:rsidR="00D51602" w:rsidRPr="00852214" w:rsidRDefault="00D51602"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lang w:val="en-US"/>
              </w:rPr>
              <w:t> </w:t>
            </w:r>
          </w:p>
        </w:tc>
      </w:tr>
      <w:tr w:rsidR="00003BD9" w:rsidRPr="00852214" w:rsidTr="00D51602">
        <w:trPr>
          <w:trHeight w:val="315"/>
        </w:trPr>
        <w:tc>
          <w:tcPr>
            <w:tcW w:w="0" w:type="auto"/>
            <w:tcBorders>
              <w:top w:val="nil"/>
              <w:bottom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5147" w:type="dxa"/>
            <w:tcBorders>
              <w:top w:val="nil"/>
              <w:bottom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r w:rsidRPr="00852214">
              <w:rPr>
                <w:rFonts w:ascii="Times New Roman" w:hAnsi="Times New Roman" w:cs="Times New Roman"/>
                <w:b/>
                <w:bCs/>
                <w:sz w:val="24"/>
                <w:szCs w:val="24"/>
                <w:lang w:val="en-US"/>
              </w:rPr>
              <w:t> </w:t>
            </w:r>
          </w:p>
        </w:tc>
        <w:tc>
          <w:tcPr>
            <w:tcW w:w="0" w:type="auto"/>
            <w:tcBorders>
              <w:top w:val="nil"/>
              <w:bottom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lang w:val="en-US"/>
              </w:rPr>
              <w:t> </w:t>
            </w:r>
          </w:p>
        </w:tc>
        <w:tc>
          <w:tcPr>
            <w:tcW w:w="4275" w:type="dxa"/>
            <w:gridSpan w:val="5"/>
            <w:tcBorders>
              <w:top w:val="nil"/>
              <w:bottom w:val="single" w:sz="4" w:space="0" w:color="auto"/>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 xml:space="preserve">результаты метода </w:t>
            </w:r>
            <w:proofErr w:type="spellStart"/>
            <w:r w:rsidRPr="00852214">
              <w:rPr>
                <w:rFonts w:ascii="Times New Roman" w:hAnsi="Times New Roman" w:cs="Times New Roman"/>
                <w:b/>
                <w:bCs/>
                <w:color w:val="000000"/>
                <w:sz w:val="24"/>
                <w:szCs w:val="24"/>
                <w:lang w:eastAsia="en-GB"/>
              </w:rPr>
              <w:t>Delphi</w:t>
            </w:r>
            <w:proofErr w:type="spellEnd"/>
          </w:p>
        </w:tc>
        <w:tc>
          <w:tcPr>
            <w:tcW w:w="0" w:type="auto"/>
            <w:tcBorders>
              <w:top w:val="nil"/>
              <w:bottom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tcBorders>
              <w:top w:val="nil"/>
              <w:bottom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r>
      <w:tr w:rsidR="00003BD9" w:rsidRPr="00852214" w:rsidTr="00D51602">
        <w:trPr>
          <w:trHeight w:val="315"/>
        </w:trPr>
        <w:tc>
          <w:tcPr>
            <w:tcW w:w="0" w:type="auto"/>
            <w:tcBorders>
              <w:top w:val="nil"/>
              <w:bottom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w:t>
            </w:r>
          </w:p>
        </w:tc>
        <w:tc>
          <w:tcPr>
            <w:tcW w:w="5147" w:type="dxa"/>
            <w:tcBorders>
              <w:top w:val="nil"/>
              <w:bottom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r w:rsidRPr="00852214">
              <w:rPr>
                <w:rFonts w:ascii="Times New Roman" w:hAnsi="Times New Roman" w:cs="Times New Roman"/>
                <w:b/>
                <w:bCs/>
                <w:sz w:val="24"/>
                <w:szCs w:val="24"/>
              </w:rPr>
              <w:t> </w:t>
            </w:r>
          </w:p>
        </w:tc>
        <w:tc>
          <w:tcPr>
            <w:tcW w:w="0" w:type="auto"/>
            <w:tcBorders>
              <w:top w:val="nil"/>
              <w:bottom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rPr>
              <w:t> </w:t>
            </w:r>
          </w:p>
        </w:tc>
        <w:tc>
          <w:tcPr>
            <w:tcW w:w="2054" w:type="dxa"/>
            <w:gridSpan w:val="2"/>
            <w:tcBorders>
              <w:top w:val="single" w:sz="4" w:space="0" w:color="auto"/>
              <w:bottom w:val="single" w:sz="4" w:space="0" w:color="auto"/>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rPr>
              <w:t>1ый раунд</w:t>
            </w:r>
          </w:p>
        </w:tc>
        <w:tc>
          <w:tcPr>
            <w:tcW w:w="0" w:type="auto"/>
            <w:tcBorders>
              <w:top w:val="single" w:sz="4" w:space="0" w:color="auto"/>
              <w:bottom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rPr>
              <w:t> </w:t>
            </w:r>
          </w:p>
        </w:tc>
        <w:tc>
          <w:tcPr>
            <w:tcW w:w="2133" w:type="dxa"/>
            <w:gridSpan w:val="2"/>
            <w:tcBorders>
              <w:top w:val="single" w:sz="4" w:space="0" w:color="auto"/>
              <w:bottom w:val="single" w:sz="4" w:space="0" w:color="auto"/>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rPr>
              <w:t>2ой раунд</w:t>
            </w:r>
          </w:p>
        </w:tc>
        <w:tc>
          <w:tcPr>
            <w:tcW w:w="0" w:type="auto"/>
            <w:tcBorders>
              <w:top w:val="nil"/>
              <w:bottom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tcBorders>
              <w:top w:val="nil"/>
              <w:bottom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r>
      <w:tr w:rsidR="00003BD9" w:rsidRPr="00852214" w:rsidTr="00D51602">
        <w:trPr>
          <w:trHeight w:val="315"/>
        </w:trPr>
        <w:tc>
          <w:tcPr>
            <w:tcW w:w="0" w:type="auto"/>
            <w:tcBorders>
              <w:top w:val="nil"/>
              <w:bottom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w:t>
            </w:r>
          </w:p>
        </w:tc>
        <w:tc>
          <w:tcPr>
            <w:tcW w:w="5147" w:type="dxa"/>
            <w:tcBorders>
              <w:top w:val="nil"/>
              <w:bottom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r w:rsidRPr="00852214">
              <w:rPr>
                <w:rFonts w:ascii="Times New Roman" w:hAnsi="Times New Roman" w:cs="Times New Roman"/>
                <w:b/>
                <w:bCs/>
                <w:sz w:val="24"/>
                <w:szCs w:val="24"/>
              </w:rPr>
              <w:t> </w:t>
            </w:r>
          </w:p>
        </w:tc>
        <w:tc>
          <w:tcPr>
            <w:tcW w:w="0" w:type="auto"/>
            <w:tcBorders>
              <w:top w:val="nil"/>
              <w:bottom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rPr>
              <w:t> </w:t>
            </w:r>
          </w:p>
        </w:tc>
        <w:tc>
          <w:tcPr>
            <w:tcW w:w="1019" w:type="dxa"/>
            <w:tcBorders>
              <w:top w:val="single" w:sz="4" w:space="0" w:color="auto"/>
              <w:bottom w:val="nil"/>
            </w:tcBorders>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eastAsia="en-GB"/>
              </w:rPr>
              <w:t>Сред.</w:t>
            </w:r>
          </w:p>
        </w:tc>
        <w:tc>
          <w:tcPr>
            <w:tcW w:w="1035" w:type="dxa"/>
            <w:tcBorders>
              <w:top w:val="single" w:sz="4" w:space="0" w:color="auto"/>
              <w:bottom w:val="nil"/>
            </w:tcBorders>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eastAsia="en-GB"/>
              </w:rPr>
              <w:t>Стд</w:t>
            </w:r>
            <w:proofErr w:type="spellEnd"/>
            <w:r w:rsidRPr="00852214">
              <w:rPr>
                <w:rFonts w:ascii="Times New Roman" w:hAnsi="Times New Roman" w:cs="Times New Roman"/>
                <w:b/>
                <w:bCs/>
                <w:sz w:val="24"/>
                <w:szCs w:val="24"/>
                <w:lang w:eastAsia="en-GB"/>
              </w:rPr>
              <w:t>.</w:t>
            </w:r>
          </w:p>
        </w:tc>
        <w:tc>
          <w:tcPr>
            <w:tcW w:w="88" w:type="dxa"/>
            <w:tcBorders>
              <w:top w:val="nil"/>
              <w:bottom w:val="nil"/>
            </w:tcBorders>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r w:rsidRPr="00852214">
              <w:rPr>
                <w:rFonts w:ascii="Times New Roman" w:hAnsi="Times New Roman" w:cs="Times New Roman"/>
                <w:b/>
                <w:bCs/>
                <w:sz w:val="24"/>
                <w:szCs w:val="24"/>
              </w:rPr>
              <w:t> </w:t>
            </w:r>
          </w:p>
        </w:tc>
        <w:tc>
          <w:tcPr>
            <w:tcW w:w="916" w:type="dxa"/>
            <w:tcBorders>
              <w:top w:val="nil"/>
              <w:bottom w:val="nil"/>
            </w:tcBorders>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eastAsia="en-GB"/>
              </w:rPr>
              <w:t>Сред.</w:t>
            </w:r>
          </w:p>
        </w:tc>
        <w:tc>
          <w:tcPr>
            <w:tcW w:w="1217" w:type="dxa"/>
            <w:tcBorders>
              <w:top w:val="nil"/>
              <w:bottom w:val="nil"/>
            </w:tcBorders>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eastAsia="en-GB"/>
              </w:rPr>
              <w:t>Стд</w:t>
            </w:r>
            <w:proofErr w:type="spellEnd"/>
            <w:r w:rsidRPr="00852214">
              <w:rPr>
                <w:rFonts w:ascii="Times New Roman" w:hAnsi="Times New Roman" w:cs="Times New Roman"/>
                <w:b/>
                <w:bCs/>
                <w:sz w:val="24"/>
                <w:szCs w:val="24"/>
                <w:lang w:eastAsia="en-GB"/>
              </w:rPr>
              <w:t>.</w:t>
            </w:r>
          </w:p>
        </w:tc>
        <w:tc>
          <w:tcPr>
            <w:tcW w:w="0" w:type="auto"/>
            <w:tcBorders>
              <w:top w:val="nil"/>
              <w:bottom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tcBorders>
              <w:top w:val="nil"/>
              <w:bottom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rPr>
              <w:t>Веса</w:t>
            </w:r>
          </w:p>
        </w:tc>
      </w:tr>
      <w:tr w:rsidR="00003BD9" w:rsidRPr="00852214" w:rsidTr="00D51602">
        <w:trPr>
          <w:trHeight w:val="315"/>
        </w:trPr>
        <w:tc>
          <w:tcPr>
            <w:tcW w:w="5387" w:type="dxa"/>
            <w:gridSpan w:val="2"/>
            <w:tcBorders>
              <w:top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rPr>
              <w:t>Критерии оценки - работодатели и их организации</w:t>
            </w:r>
          </w:p>
        </w:tc>
        <w:tc>
          <w:tcPr>
            <w:tcW w:w="0" w:type="auto"/>
            <w:tcBorders>
              <w:top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lang w:val="en-US"/>
              </w:rPr>
              <w:t> </w:t>
            </w:r>
          </w:p>
        </w:tc>
        <w:tc>
          <w:tcPr>
            <w:tcW w:w="1019" w:type="dxa"/>
            <w:tcBorders>
              <w:top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rPr>
              <w:t>(1 до 5)</w:t>
            </w:r>
          </w:p>
        </w:tc>
        <w:tc>
          <w:tcPr>
            <w:tcW w:w="1035" w:type="dxa"/>
            <w:tcBorders>
              <w:top w:val="nil"/>
            </w:tcBorders>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proofErr w:type="spellStart"/>
            <w:r w:rsidRPr="00852214">
              <w:rPr>
                <w:rFonts w:ascii="Times New Roman" w:hAnsi="Times New Roman" w:cs="Times New Roman"/>
                <w:b/>
                <w:bCs/>
                <w:sz w:val="24"/>
                <w:szCs w:val="24"/>
              </w:rPr>
              <w:t>Dev</w:t>
            </w:r>
            <w:proofErr w:type="spellEnd"/>
            <w:r w:rsidRPr="00852214">
              <w:rPr>
                <w:rFonts w:ascii="Times New Roman" w:hAnsi="Times New Roman" w:cs="Times New Roman"/>
                <w:b/>
                <w:bCs/>
                <w:sz w:val="24"/>
                <w:szCs w:val="24"/>
              </w:rPr>
              <w:t>.</w:t>
            </w:r>
          </w:p>
        </w:tc>
        <w:tc>
          <w:tcPr>
            <w:tcW w:w="88" w:type="dxa"/>
            <w:tcBorders>
              <w:top w:val="nil"/>
            </w:tcBorders>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r w:rsidRPr="00852214">
              <w:rPr>
                <w:rFonts w:ascii="Times New Roman" w:hAnsi="Times New Roman" w:cs="Times New Roman"/>
                <w:b/>
                <w:bCs/>
                <w:sz w:val="24"/>
                <w:szCs w:val="24"/>
              </w:rPr>
              <w:t> </w:t>
            </w:r>
          </w:p>
        </w:tc>
        <w:tc>
          <w:tcPr>
            <w:tcW w:w="916" w:type="dxa"/>
            <w:tcBorders>
              <w:top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rPr>
              <w:t>(1 до 5)</w:t>
            </w:r>
          </w:p>
        </w:tc>
        <w:tc>
          <w:tcPr>
            <w:tcW w:w="1217" w:type="dxa"/>
            <w:tcBorders>
              <w:top w:val="nil"/>
            </w:tcBorders>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proofErr w:type="spellStart"/>
            <w:r w:rsidRPr="00852214">
              <w:rPr>
                <w:rFonts w:ascii="Times New Roman" w:hAnsi="Times New Roman" w:cs="Times New Roman"/>
                <w:b/>
                <w:bCs/>
                <w:sz w:val="24"/>
                <w:szCs w:val="24"/>
              </w:rPr>
              <w:t>Dev</w:t>
            </w:r>
            <w:proofErr w:type="spellEnd"/>
            <w:r w:rsidRPr="00852214">
              <w:rPr>
                <w:rFonts w:ascii="Times New Roman" w:hAnsi="Times New Roman" w:cs="Times New Roman"/>
                <w:b/>
                <w:bCs/>
                <w:sz w:val="24"/>
                <w:szCs w:val="24"/>
              </w:rPr>
              <w:t>.</w:t>
            </w:r>
          </w:p>
        </w:tc>
        <w:tc>
          <w:tcPr>
            <w:tcW w:w="0" w:type="auto"/>
            <w:tcBorders>
              <w:top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rPr>
              <w:t> </w:t>
            </w:r>
          </w:p>
        </w:tc>
        <w:tc>
          <w:tcPr>
            <w:tcW w:w="765" w:type="dxa"/>
            <w:tcBorders>
              <w:top w:val="nil"/>
            </w:tcBorders>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color w:val="000000"/>
                <w:sz w:val="24"/>
                <w:szCs w:val="24"/>
              </w:rPr>
            </w:pPr>
            <w:r w:rsidRPr="00852214">
              <w:rPr>
                <w:rFonts w:ascii="Times New Roman" w:hAnsi="Times New Roman" w:cs="Times New Roman"/>
                <w:b/>
                <w:bCs/>
                <w:color w:val="000000"/>
                <w:sz w:val="24"/>
                <w:szCs w:val="24"/>
              </w:rPr>
              <w:t>(1 до 2)</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0</w:t>
            </w:r>
          </w:p>
        </w:tc>
        <w:tc>
          <w:tcPr>
            <w:tcW w:w="5147" w:type="dxa"/>
            <w:shd w:val="clear" w:color="auto" w:fill="auto"/>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Создание Комиссии по расследованию в соответствии со статьей 26 Устава МОТ</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Н/Д</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Н/Д</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Н/Д</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Н/Д</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2.00</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proofErr w:type="spellStart"/>
            <w:r w:rsidRPr="00852214">
              <w:rPr>
                <w:rFonts w:ascii="Times New Roman" w:hAnsi="Times New Roman" w:cs="Times New Roman"/>
                <w:b/>
                <w:bCs/>
                <w:sz w:val="24"/>
                <w:szCs w:val="24"/>
                <w:lang w:val="en-US"/>
              </w:rPr>
              <w:t>Ia</w:t>
            </w:r>
            <w:proofErr w:type="spellEnd"/>
            <w:r w:rsidRPr="00852214">
              <w:rPr>
                <w:rFonts w:ascii="Times New Roman" w:hAnsi="Times New Roman" w:cs="Times New Roman"/>
                <w:b/>
                <w:bCs/>
                <w:sz w:val="24"/>
                <w:szCs w:val="24"/>
              </w:rPr>
              <w:t>. Основные гражданские свободы в законодательстве</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r w:rsidRPr="00852214">
              <w:rPr>
                <w:rFonts w:ascii="Times New Roman" w:hAnsi="Times New Roman" w:cs="Times New Roman"/>
                <w:b/>
                <w:bCs/>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1</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Арест, задержание, тюремное заключение, начисление и штрафы членов организаций работодателей</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4.92</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0.27</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5.00</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0.00</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2.00</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2</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Нарушения основных свобод членов организаций</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4.46</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0.76</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4.71</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0.47</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1.93</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3</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Нарушение права организаций работодателей на защиту их помещений и имущества</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3.85</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3.93</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0.62</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1.73</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4</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Чрезмерные запреты/ограничения прав организаций работодателей в случае чрезвычайного положения</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3.68</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1.09</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3.64</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1.66</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5</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Отсутствие гарантии надлежащего судебного разбирательства и/или нарушения справедливости </w:t>
            </w:r>
            <w:proofErr w:type="spellStart"/>
            <w:r w:rsidRPr="00852214">
              <w:rPr>
                <w:rFonts w:ascii="Times New Roman" w:hAnsi="Times New Roman" w:cs="Times New Roman"/>
                <w:sz w:val="24"/>
                <w:szCs w:val="24"/>
                <w:lang w:val="en-US"/>
              </w:rPr>
              <w:t>nos</w:t>
            </w:r>
            <w:proofErr w:type="spellEnd"/>
            <w:r w:rsidRPr="00852214">
              <w:rPr>
                <w:rFonts w:ascii="Times New Roman" w:hAnsi="Times New Roman" w:cs="Times New Roman"/>
                <w:sz w:val="24"/>
                <w:szCs w:val="24"/>
              </w:rPr>
              <w:t>. 1-4</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4.23</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0.91</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4.43</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0.65</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1.86</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proofErr w:type="spellStart"/>
            <w:r w:rsidRPr="00852214">
              <w:rPr>
                <w:rFonts w:ascii="Times New Roman" w:hAnsi="Times New Roman" w:cs="Times New Roman"/>
                <w:b/>
                <w:bCs/>
                <w:sz w:val="24"/>
                <w:szCs w:val="24"/>
                <w:lang w:val="en-US"/>
              </w:rPr>
              <w:t>Ib</w:t>
            </w:r>
            <w:proofErr w:type="spellEnd"/>
            <w:r w:rsidRPr="00852214">
              <w:rPr>
                <w:rFonts w:ascii="Times New Roman" w:hAnsi="Times New Roman" w:cs="Times New Roman"/>
                <w:b/>
                <w:bCs/>
                <w:sz w:val="24"/>
                <w:szCs w:val="24"/>
              </w:rPr>
              <w:t xml:space="preserve">. </w:t>
            </w:r>
            <w:r w:rsidR="00F73B47" w:rsidRPr="00852214">
              <w:rPr>
                <w:rFonts w:ascii="Times New Roman" w:hAnsi="Times New Roman" w:cs="Times New Roman"/>
                <w:b/>
                <w:bCs/>
                <w:sz w:val="24"/>
                <w:szCs w:val="24"/>
              </w:rPr>
              <w:t>Фундаментальные гражданские свободы на практике</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r w:rsidRPr="00852214">
              <w:rPr>
                <w:rFonts w:ascii="Times New Roman" w:hAnsi="Times New Roman" w:cs="Times New Roman"/>
                <w:b/>
                <w:bCs/>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6</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Убийство или исчезновение членов организаций работодателей в связи с их смежной деятельностью</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5.00</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0.00</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5.00</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0.00</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2.00</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7</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Посягательство на должностных лиц организаций работодателей </w:t>
            </w:r>
            <w:r w:rsidRPr="00852214">
              <w:rPr>
                <w:rFonts w:ascii="Times New Roman" w:hAnsi="Times New Roman" w:cs="Times New Roman"/>
                <w:sz w:val="24"/>
                <w:szCs w:val="24"/>
                <w:lang w:val="en-US"/>
              </w:rPr>
              <w:t>no</w:t>
            </w:r>
            <w:r w:rsidRPr="00852214">
              <w:rPr>
                <w:rFonts w:ascii="Times New Roman" w:hAnsi="Times New Roman" w:cs="Times New Roman"/>
                <w:sz w:val="24"/>
                <w:szCs w:val="24"/>
              </w:rPr>
              <w:t>. 6</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4.92</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0.27</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5.00</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0.00</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2.00</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8</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Отсутствие гарантии надлежащего судебного разбирательства и/или нарушения справедливости </w:t>
            </w:r>
            <w:r w:rsidRPr="00852214">
              <w:rPr>
                <w:rFonts w:ascii="Times New Roman" w:hAnsi="Times New Roman" w:cs="Times New Roman"/>
                <w:sz w:val="24"/>
                <w:szCs w:val="24"/>
                <w:lang w:val="en-US"/>
              </w:rPr>
              <w:t>no</w:t>
            </w:r>
            <w:r w:rsidRPr="00852214">
              <w:rPr>
                <w:rFonts w:ascii="Times New Roman" w:hAnsi="Times New Roman" w:cs="Times New Roman"/>
                <w:sz w:val="24"/>
                <w:szCs w:val="24"/>
              </w:rPr>
              <w:t>.6</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4.39</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0.76</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4.57</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0.51</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1.89</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9</w:t>
            </w:r>
          </w:p>
        </w:tc>
        <w:tc>
          <w:tcPr>
            <w:tcW w:w="5147" w:type="dxa"/>
            <w:shd w:val="clear" w:color="000000" w:fill="FFFFFF"/>
            <w:tcMar>
              <w:top w:w="15" w:type="dxa"/>
              <w:left w:w="15" w:type="dxa"/>
              <w:bottom w:w="0" w:type="dxa"/>
              <w:right w:w="15" w:type="dxa"/>
            </w:tcMar>
            <w:vAlign w:val="center"/>
            <w:hideMark/>
          </w:tcPr>
          <w:p w:rsidR="00003BD9" w:rsidRPr="00852214" w:rsidRDefault="00F73B47"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Другие насильственные действия против членов организаций работодателей в отношении их связанной деятельности</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4.16</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0.70</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4.29</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0.47</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1.82</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10</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Посягательство на должностных лиц организаций работодателей </w:t>
            </w:r>
            <w:r w:rsidRPr="00852214">
              <w:rPr>
                <w:rFonts w:ascii="Times New Roman" w:hAnsi="Times New Roman" w:cs="Times New Roman"/>
                <w:sz w:val="24"/>
                <w:szCs w:val="24"/>
                <w:lang w:val="en-US"/>
              </w:rPr>
              <w:t>no</w:t>
            </w:r>
            <w:r w:rsidRPr="00852214">
              <w:rPr>
                <w:rFonts w:ascii="Times New Roman" w:hAnsi="Times New Roman" w:cs="Times New Roman"/>
                <w:sz w:val="24"/>
                <w:szCs w:val="24"/>
              </w:rPr>
              <w:t>.9</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4.16</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0.70</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4.29</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0.47</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1.82</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11</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Отсутствие гарантии надлежащего судебного разбирательства и/или нарушения справедливости </w:t>
            </w:r>
            <w:r w:rsidRPr="00852214">
              <w:rPr>
                <w:rFonts w:ascii="Times New Roman" w:hAnsi="Times New Roman" w:cs="Times New Roman"/>
                <w:sz w:val="24"/>
                <w:szCs w:val="24"/>
                <w:lang w:val="en-US"/>
              </w:rPr>
              <w:t>no</w:t>
            </w:r>
            <w:r w:rsidRPr="00852214">
              <w:rPr>
                <w:rFonts w:ascii="Times New Roman" w:hAnsi="Times New Roman" w:cs="Times New Roman"/>
                <w:sz w:val="24"/>
                <w:szCs w:val="24"/>
              </w:rPr>
              <w:t>.9</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4.01</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4.36</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0.50</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1.84</w:t>
            </w:r>
          </w:p>
        </w:tc>
      </w:tr>
      <w:tr w:rsidR="00003BD9" w:rsidRPr="00852214" w:rsidTr="00D51602">
        <w:trPr>
          <w:trHeight w:val="510"/>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lastRenderedPageBreak/>
              <w:t>12</w:t>
            </w:r>
          </w:p>
        </w:tc>
        <w:tc>
          <w:tcPr>
            <w:tcW w:w="5147" w:type="dxa"/>
            <w:shd w:val="clear" w:color="000000" w:fill="FFFFFF"/>
            <w:tcMar>
              <w:top w:w="15" w:type="dxa"/>
              <w:left w:w="15" w:type="dxa"/>
              <w:bottom w:w="0" w:type="dxa"/>
              <w:right w:w="15" w:type="dxa"/>
            </w:tcMar>
            <w:vAlign w:val="center"/>
            <w:hideMark/>
          </w:tcPr>
          <w:p w:rsidR="00003BD9" w:rsidRPr="00852214" w:rsidRDefault="00F73B47"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Арест, содержание под стражей, тюремное заключение, начисление и оговорка членов организаций работодателей в отношении их связанной деятельности</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4.62</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4.79</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0.43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1.95</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13</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Посягательство на должностных лиц организаций работодателей </w:t>
            </w:r>
            <w:r w:rsidRPr="00852214">
              <w:rPr>
                <w:rFonts w:ascii="Times New Roman" w:hAnsi="Times New Roman" w:cs="Times New Roman"/>
                <w:sz w:val="24"/>
                <w:szCs w:val="24"/>
                <w:lang w:val="en-US"/>
              </w:rPr>
              <w:t>no</w:t>
            </w:r>
            <w:r w:rsidRPr="00852214">
              <w:rPr>
                <w:rFonts w:ascii="Times New Roman" w:hAnsi="Times New Roman" w:cs="Times New Roman"/>
                <w:sz w:val="24"/>
                <w:szCs w:val="24"/>
              </w:rPr>
              <w:t>.12</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4.54</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0.76</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4.79</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0.43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1.95</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14</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Отсутствие гарантии надлежащего судебного разбирательства и/или нарушения справедливости </w:t>
            </w:r>
            <w:r w:rsidRPr="00852214">
              <w:rPr>
                <w:rFonts w:ascii="Times New Roman" w:hAnsi="Times New Roman" w:cs="Times New Roman"/>
                <w:sz w:val="24"/>
                <w:szCs w:val="24"/>
                <w:lang w:val="en-US"/>
              </w:rPr>
              <w:t>no</w:t>
            </w:r>
            <w:r w:rsidRPr="00852214">
              <w:rPr>
                <w:rFonts w:ascii="Times New Roman" w:hAnsi="Times New Roman" w:cs="Times New Roman"/>
                <w:sz w:val="24"/>
                <w:szCs w:val="24"/>
              </w:rPr>
              <w:t>.12</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4.23</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4.50</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0.52</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1.88</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15</w:t>
            </w:r>
          </w:p>
        </w:tc>
        <w:tc>
          <w:tcPr>
            <w:tcW w:w="5147" w:type="dxa"/>
            <w:shd w:val="clear" w:color="000000" w:fill="FFFFFF"/>
            <w:tcMar>
              <w:top w:w="15" w:type="dxa"/>
              <w:left w:w="15" w:type="dxa"/>
              <w:bottom w:w="0" w:type="dxa"/>
              <w:right w:w="15" w:type="dxa"/>
            </w:tcMar>
            <w:vAlign w:val="center"/>
            <w:hideMark/>
          </w:tcPr>
          <w:p w:rsidR="00003BD9" w:rsidRPr="00852214" w:rsidRDefault="00F73B47"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Нарушения основных свобод членов организаций</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4.23</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4.29</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0.47</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1.82</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16</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Посягательство на должностных лиц организаций работодателей </w:t>
            </w:r>
            <w:r w:rsidRPr="00852214">
              <w:rPr>
                <w:rFonts w:ascii="Times New Roman" w:hAnsi="Times New Roman" w:cs="Times New Roman"/>
                <w:sz w:val="24"/>
                <w:szCs w:val="24"/>
                <w:lang w:val="en-US"/>
              </w:rPr>
              <w:t>no</w:t>
            </w:r>
            <w:r w:rsidRPr="00852214">
              <w:rPr>
                <w:rFonts w:ascii="Times New Roman" w:hAnsi="Times New Roman" w:cs="Times New Roman"/>
                <w:sz w:val="24"/>
                <w:szCs w:val="24"/>
              </w:rPr>
              <w:t>.15</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4.23</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4.29</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0.61</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1.82</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17</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Отсутствие гарантии надлежащего судебного разбирательства и/или нарушения справедливости </w:t>
            </w:r>
            <w:r w:rsidRPr="00852214">
              <w:rPr>
                <w:rFonts w:ascii="Times New Roman" w:hAnsi="Times New Roman" w:cs="Times New Roman"/>
                <w:sz w:val="24"/>
                <w:szCs w:val="24"/>
                <w:lang w:val="en-US"/>
              </w:rPr>
              <w:t>no</w:t>
            </w:r>
            <w:r w:rsidRPr="00852214">
              <w:rPr>
                <w:rFonts w:ascii="Times New Roman" w:hAnsi="Times New Roman" w:cs="Times New Roman"/>
                <w:sz w:val="24"/>
                <w:szCs w:val="24"/>
              </w:rPr>
              <w:t>.15</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4.16</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0.89</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4.50</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0.52</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1.88</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18</w:t>
            </w:r>
          </w:p>
        </w:tc>
        <w:tc>
          <w:tcPr>
            <w:tcW w:w="5147" w:type="dxa"/>
            <w:shd w:val="clear" w:color="000000" w:fill="FFFFFF"/>
            <w:tcMar>
              <w:top w:w="15" w:type="dxa"/>
              <w:left w:w="15" w:type="dxa"/>
              <w:bottom w:w="0" w:type="dxa"/>
              <w:right w:w="15" w:type="dxa"/>
            </w:tcMar>
            <w:vAlign w:val="center"/>
            <w:hideMark/>
          </w:tcPr>
          <w:p w:rsidR="00003BD9" w:rsidRPr="00852214" w:rsidRDefault="00F73B47"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Нападения на помещения и имущество организаций работодателей</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4.01</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0.62</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4.07</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0.47</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1.77</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19</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Посягательство на должностных лиц организаций работодателей </w:t>
            </w:r>
            <w:r w:rsidRPr="00852214">
              <w:rPr>
                <w:rFonts w:ascii="Times New Roman" w:hAnsi="Times New Roman" w:cs="Times New Roman"/>
                <w:sz w:val="24"/>
                <w:szCs w:val="24"/>
                <w:lang w:val="en-US"/>
              </w:rPr>
              <w:t>no</w:t>
            </w:r>
            <w:r w:rsidRPr="00852214">
              <w:rPr>
                <w:rFonts w:ascii="Times New Roman" w:hAnsi="Times New Roman" w:cs="Times New Roman"/>
                <w:sz w:val="24"/>
                <w:szCs w:val="24"/>
              </w:rPr>
              <w:t>.18</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4.01</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0.62</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4.07</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0.47</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1.77</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20</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Отсутствие гарантии надлежащего судебного разбирательства и/или нарушения справедливости </w:t>
            </w:r>
            <w:r w:rsidRPr="00852214">
              <w:rPr>
                <w:rFonts w:ascii="Times New Roman" w:hAnsi="Times New Roman" w:cs="Times New Roman"/>
                <w:sz w:val="24"/>
                <w:szCs w:val="24"/>
                <w:lang w:val="en-US"/>
              </w:rPr>
              <w:t>no</w:t>
            </w:r>
            <w:r w:rsidRPr="00852214">
              <w:rPr>
                <w:rFonts w:ascii="Times New Roman" w:hAnsi="Times New Roman" w:cs="Times New Roman"/>
                <w:sz w:val="24"/>
                <w:szCs w:val="24"/>
              </w:rPr>
              <w:t>.18</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4.08</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0.77</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4.07</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0.62</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1.77</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21</w:t>
            </w:r>
          </w:p>
        </w:tc>
        <w:tc>
          <w:tcPr>
            <w:tcW w:w="5147" w:type="dxa"/>
            <w:shd w:val="clear" w:color="000000" w:fill="FFFFFF"/>
            <w:tcMar>
              <w:top w:w="15" w:type="dxa"/>
              <w:left w:w="15" w:type="dxa"/>
              <w:bottom w:w="0" w:type="dxa"/>
              <w:right w:w="15" w:type="dxa"/>
            </w:tcMar>
            <w:vAlign w:val="center"/>
            <w:hideMark/>
          </w:tcPr>
          <w:p w:rsidR="00003BD9" w:rsidRPr="00852214" w:rsidRDefault="00F73B47"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Чрезмерные запреты/ограничения прав организаций работодателей в случае чрезвычайного положения</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3.68</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1.02</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3.79</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0.43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1.70</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22</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Отсутствие гарантии надлежащего судебного разбирательства и/или нарушения справедливости </w:t>
            </w:r>
            <w:r w:rsidRPr="00852214">
              <w:rPr>
                <w:rFonts w:ascii="Times New Roman" w:hAnsi="Times New Roman" w:cs="Times New Roman"/>
                <w:sz w:val="24"/>
                <w:szCs w:val="24"/>
                <w:lang w:val="en-US"/>
              </w:rPr>
              <w:t>no</w:t>
            </w:r>
            <w:r w:rsidRPr="00852214">
              <w:rPr>
                <w:rFonts w:ascii="Times New Roman" w:hAnsi="Times New Roman" w:cs="Times New Roman"/>
                <w:sz w:val="24"/>
                <w:szCs w:val="24"/>
              </w:rPr>
              <w:t>.21</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3.85</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1.07</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3.93</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0.62</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1.73</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proofErr w:type="spellStart"/>
            <w:r w:rsidRPr="00852214">
              <w:rPr>
                <w:rFonts w:ascii="Times New Roman" w:hAnsi="Times New Roman" w:cs="Times New Roman"/>
                <w:b/>
                <w:bCs/>
                <w:sz w:val="24"/>
                <w:szCs w:val="24"/>
                <w:lang w:val="en-US"/>
              </w:rPr>
              <w:t>IIa</w:t>
            </w:r>
            <w:proofErr w:type="spellEnd"/>
            <w:r w:rsidRPr="00852214">
              <w:rPr>
                <w:rFonts w:ascii="Times New Roman" w:hAnsi="Times New Roman" w:cs="Times New Roman"/>
                <w:b/>
                <w:bCs/>
                <w:sz w:val="24"/>
                <w:szCs w:val="24"/>
              </w:rPr>
              <w:t xml:space="preserve">. </w:t>
            </w:r>
            <w:r w:rsidR="004545A5" w:rsidRPr="00852214">
              <w:rPr>
                <w:rFonts w:ascii="Times New Roman" w:hAnsi="Times New Roman" w:cs="Times New Roman"/>
                <w:b/>
                <w:bCs/>
                <w:sz w:val="24"/>
                <w:szCs w:val="24"/>
              </w:rPr>
              <w:t>Право работодателей создавать организации и вступать в права</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r w:rsidRPr="00852214">
              <w:rPr>
                <w:rFonts w:ascii="Times New Roman" w:hAnsi="Times New Roman" w:cs="Times New Roman"/>
                <w:b/>
                <w:bCs/>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23</w:t>
            </w:r>
          </w:p>
        </w:tc>
        <w:tc>
          <w:tcPr>
            <w:tcW w:w="5147" w:type="dxa"/>
            <w:shd w:val="clear" w:color="000000" w:fill="FFFFFF"/>
            <w:tcMar>
              <w:top w:w="15" w:type="dxa"/>
              <w:left w:w="15" w:type="dxa"/>
              <w:bottom w:w="0" w:type="dxa"/>
              <w:right w:w="15" w:type="dxa"/>
            </w:tcMar>
            <w:vAlign w:val="center"/>
            <w:hideMark/>
          </w:tcPr>
          <w:p w:rsidR="00003BD9"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Общий запрет на право создавать и вступать в организации</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4.77</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0.43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4.86</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0.36</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1.96</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24</w:t>
            </w:r>
          </w:p>
        </w:tc>
        <w:tc>
          <w:tcPr>
            <w:tcW w:w="5147" w:type="dxa"/>
            <w:shd w:val="clear" w:color="000000" w:fill="FFFFFF"/>
            <w:tcMar>
              <w:top w:w="15" w:type="dxa"/>
              <w:left w:w="15" w:type="dxa"/>
              <w:bottom w:w="0" w:type="dxa"/>
              <w:right w:w="15" w:type="dxa"/>
            </w:tcMar>
            <w:vAlign w:val="center"/>
            <w:hideMark/>
          </w:tcPr>
          <w:p w:rsidR="00003BD9"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Исключение других работодателей от права создавать и присоединяться к организациям</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4.23</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4.43</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0.51</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1.86</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25</w:t>
            </w:r>
          </w:p>
        </w:tc>
        <w:tc>
          <w:tcPr>
            <w:tcW w:w="5147" w:type="dxa"/>
            <w:shd w:val="clear" w:color="000000" w:fill="FFFFFF"/>
            <w:tcMar>
              <w:top w:w="15" w:type="dxa"/>
              <w:left w:w="15" w:type="dxa"/>
              <w:bottom w:w="0" w:type="dxa"/>
              <w:right w:w="15" w:type="dxa"/>
            </w:tcMar>
            <w:vAlign w:val="center"/>
            <w:hideMark/>
          </w:tcPr>
          <w:p w:rsidR="00003BD9"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Предыдущие требования к авторизации</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3.38</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3.50</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0.65</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1.63</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26</w:t>
            </w:r>
          </w:p>
        </w:tc>
        <w:tc>
          <w:tcPr>
            <w:tcW w:w="5147" w:type="dxa"/>
            <w:shd w:val="clear" w:color="000000" w:fill="FFFFFF"/>
            <w:tcMar>
              <w:top w:w="15" w:type="dxa"/>
              <w:left w:w="15" w:type="dxa"/>
              <w:bottom w:w="0" w:type="dxa"/>
              <w:right w:w="15" w:type="dxa"/>
            </w:tcMar>
            <w:vAlign w:val="center"/>
            <w:hideMark/>
          </w:tcPr>
          <w:p w:rsidR="00003BD9"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Ограничения на свободу выбора структуры и состава организаций работодателей</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3.46</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0.76</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3.50</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0.65</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1.63</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27</w:t>
            </w:r>
          </w:p>
        </w:tc>
        <w:tc>
          <w:tcPr>
            <w:tcW w:w="5147" w:type="dxa"/>
            <w:shd w:val="clear" w:color="000000" w:fill="FFFFFF"/>
            <w:tcMar>
              <w:top w:w="15" w:type="dxa"/>
              <w:left w:w="15" w:type="dxa"/>
              <w:bottom w:w="0" w:type="dxa"/>
              <w:right w:w="15" w:type="dxa"/>
            </w:tcMar>
            <w:vAlign w:val="center"/>
            <w:hideMark/>
          </w:tcPr>
          <w:p w:rsidR="00003BD9" w:rsidRPr="00852214" w:rsidRDefault="004545A5" w:rsidP="00852214">
            <w:pPr>
              <w:spacing w:before="100" w:beforeAutospacing="1" w:after="100" w:afterAutospacing="1" w:line="276" w:lineRule="auto"/>
              <w:jc w:val="both"/>
              <w:rPr>
                <w:rFonts w:ascii="Times New Roman" w:hAnsi="Times New Roman" w:cs="Times New Roman"/>
                <w:sz w:val="24"/>
                <w:szCs w:val="24"/>
                <w:lang w:val="en-US"/>
              </w:rPr>
            </w:pPr>
            <w:proofErr w:type="spellStart"/>
            <w:r w:rsidRPr="00852214">
              <w:rPr>
                <w:rFonts w:ascii="Times New Roman" w:hAnsi="Times New Roman" w:cs="Times New Roman"/>
                <w:sz w:val="24"/>
                <w:szCs w:val="24"/>
                <w:lang w:val="en-US"/>
              </w:rPr>
              <w:t>Навязанное</w:t>
            </w:r>
            <w:proofErr w:type="spellEnd"/>
            <w:r w:rsidRPr="00852214">
              <w:rPr>
                <w:rFonts w:ascii="Times New Roman" w:hAnsi="Times New Roman" w:cs="Times New Roman"/>
                <w:sz w:val="24"/>
                <w:szCs w:val="24"/>
                <w:lang w:val="en-US"/>
              </w:rPr>
              <w:t xml:space="preserve"> </w:t>
            </w:r>
            <w:proofErr w:type="spellStart"/>
            <w:r w:rsidRPr="00852214">
              <w:rPr>
                <w:rFonts w:ascii="Times New Roman" w:hAnsi="Times New Roman" w:cs="Times New Roman"/>
                <w:sz w:val="24"/>
                <w:szCs w:val="24"/>
                <w:lang w:val="en-US"/>
              </w:rPr>
              <w:t>единство</w:t>
            </w:r>
            <w:proofErr w:type="spellEnd"/>
            <w:r w:rsidRPr="00852214">
              <w:rPr>
                <w:rFonts w:ascii="Times New Roman" w:hAnsi="Times New Roman" w:cs="Times New Roman"/>
                <w:sz w:val="24"/>
                <w:szCs w:val="24"/>
                <w:lang w:val="en-US"/>
              </w:rPr>
              <w:t xml:space="preserve"> </w:t>
            </w:r>
            <w:proofErr w:type="spellStart"/>
            <w:r w:rsidRPr="00852214">
              <w:rPr>
                <w:rFonts w:ascii="Times New Roman" w:hAnsi="Times New Roman" w:cs="Times New Roman"/>
                <w:sz w:val="24"/>
                <w:szCs w:val="24"/>
                <w:lang w:val="en-US"/>
              </w:rPr>
              <w:t>организаций</w:t>
            </w:r>
            <w:proofErr w:type="spellEnd"/>
            <w:r w:rsidRPr="00852214">
              <w:rPr>
                <w:rFonts w:ascii="Times New Roman" w:hAnsi="Times New Roman" w:cs="Times New Roman"/>
                <w:sz w:val="24"/>
                <w:szCs w:val="24"/>
                <w:lang w:val="en-US"/>
              </w:rPr>
              <w:t xml:space="preserve"> </w:t>
            </w:r>
            <w:proofErr w:type="spellStart"/>
            <w:r w:rsidRPr="00852214">
              <w:rPr>
                <w:rFonts w:ascii="Times New Roman" w:hAnsi="Times New Roman" w:cs="Times New Roman"/>
                <w:sz w:val="24"/>
                <w:szCs w:val="24"/>
                <w:lang w:val="en-US"/>
              </w:rPr>
              <w:t>работодателей</w:t>
            </w:r>
            <w:proofErr w:type="spellEnd"/>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lang w:val="en-US"/>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3.83</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0.93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3.71</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0.61</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1.68</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28</w:t>
            </w:r>
          </w:p>
        </w:tc>
        <w:tc>
          <w:tcPr>
            <w:tcW w:w="5147" w:type="dxa"/>
            <w:shd w:val="clear" w:color="000000" w:fill="FFFFFF"/>
            <w:tcMar>
              <w:top w:w="15" w:type="dxa"/>
              <w:left w:w="15" w:type="dxa"/>
              <w:bottom w:w="0" w:type="dxa"/>
              <w:right w:w="15" w:type="dxa"/>
            </w:tcMar>
            <w:vAlign w:val="center"/>
            <w:hideMark/>
          </w:tcPr>
          <w:p w:rsidR="00003BD9"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Расторжение/приостановление деятельности юридически функционирующих организаций</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4.45</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0.74</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4.57</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0.51</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1.89</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29</w:t>
            </w:r>
          </w:p>
        </w:tc>
        <w:tc>
          <w:tcPr>
            <w:tcW w:w="5147" w:type="dxa"/>
            <w:shd w:val="clear" w:color="000000" w:fill="FFFFFF"/>
            <w:tcMar>
              <w:top w:w="15" w:type="dxa"/>
              <w:left w:w="15" w:type="dxa"/>
              <w:bottom w:w="0" w:type="dxa"/>
              <w:right w:w="15" w:type="dxa"/>
            </w:tcMar>
            <w:vAlign w:val="center"/>
            <w:hideMark/>
          </w:tcPr>
          <w:p w:rsidR="00003BD9"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Положения в законодательстве, допускающие вмешательство рабочих организаций и/или государственных органов</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4.08</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4.21</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0.70</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1.80</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lastRenderedPageBreak/>
              <w:t>30</w:t>
            </w:r>
          </w:p>
        </w:tc>
        <w:tc>
          <w:tcPr>
            <w:tcW w:w="5147" w:type="dxa"/>
            <w:shd w:val="clear" w:color="000000" w:fill="FFFFFF"/>
            <w:tcMar>
              <w:top w:w="15" w:type="dxa"/>
              <w:left w:w="15" w:type="dxa"/>
              <w:bottom w:w="0" w:type="dxa"/>
              <w:right w:w="15" w:type="dxa"/>
            </w:tcMar>
            <w:vAlign w:val="center"/>
            <w:hideMark/>
          </w:tcPr>
          <w:p w:rsidR="00003BD9"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Отсутствие адекватных юридических гарантий от актов вмешательства</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3.62</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1.01</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3.79</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0.70</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1.70</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31</w:t>
            </w:r>
          </w:p>
        </w:tc>
        <w:tc>
          <w:tcPr>
            <w:tcW w:w="5147" w:type="dxa"/>
            <w:shd w:val="clear" w:color="000000" w:fill="FFFFFF"/>
            <w:tcMar>
              <w:top w:w="15" w:type="dxa"/>
              <w:left w:w="15" w:type="dxa"/>
              <w:bottom w:w="0" w:type="dxa"/>
              <w:right w:w="15" w:type="dxa"/>
            </w:tcMar>
            <w:vAlign w:val="center"/>
            <w:hideMark/>
          </w:tcPr>
          <w:p w:rsidR="00003BD9"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Нарушения права создавать и вступать в федерации/конфедерации/международные организации</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3.85</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0.77</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3.93</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1.73</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32</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Отсутствие гарантии надлежащего судебного разбирательства и/или нарушения справедливости </w:t>
            </w:r>
            <w:proofErr w:type="spellStart"/>
            <w:r w:rsidRPr="00852214">
              <w:rPr>
                <w:rFonts w:ascii="Times New Roman" w:hAnsi="Times New Roman" w:cs="Times New Roman"/>
                <w:sz w:val="24"/>
                <w:szCs w:val="24"/>
                <w:lang w:val="en-US"/>
              </w:rPr>
              <w:t>nos</w:t>
            </w:r>
            <w:proofErr w:type="spellEnd"/>
            <w:r w:rsidRPr="00852214">
              <w:rPr>
                <w:rFonts w:ascii="Times New Roman" w:hAnsi="Times New Roman" w:cs="Times New Roman"/>
                <w:sz w:val="24"/>
                <w:szCs w:val="24"/>
              </w:rPr>
              <w:t>. 23-31</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3.93</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1.11</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4.21</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0.58</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1.80</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proofErr w:type="spellStart"/>
            <w:r w:rsidRPr="00852214">
              <w:rPr>
                <w:rFonts w:ascii="Times New Roman" w:hAnsi="Times New Roman" w:cs="Times New Roman"/>
                <w:b/>
                <w:bCs/>
                <w:sz w:val="24"/>
                <w:szCs w:val="24"/>
                <w:lang w:val="en-US"/>
              </w:rPr>
              <w:t>IIb</w:t>
            </w:r>
            <w:proofErr w:type="spellEnd"/>
            <w:r w:rsidRPr="00852214">
              <w:rPr>
                <w:rFonts w:ascii="Times New Roman" w:hAnsi="Times New Roman" w:cs="Times New Roman"/>
                <w:b/>
                <w:bCs/>
                <w:sz w:val="24"/>
                <w:szCs w:val="24"/>
              </w:rPr>
              <w:t xml:space="preserve">. </w:t>
            </w:r>
            <w:r w:rsidR="004545A5" w:rsidRPr="00852214">
              <w:rPr>
                <w:rFonts w:ascii="Times New Roman" w:hAnsi="Times New Roman" w:cs="Times New Roman"/>
                <w:b/>
                <w:bCs/>
                <w:sz w:val="24"/>
                <w:szCs w:val="24"/>
              </w:rPr>
              <w:t>Право работодателей на создание и объединение организаций на практике</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r w:rsidRPr="00852214">
              <w:rPr>
                <w:rFonts w:ascii="Times New Roman" w:hAnsi="Times New Roman" w:cs="Times New Roman"/>
                <w:b/>
                <w:bCs/>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r>
      <w:tr w:rsidR="004545A5" w:rsidRPr="00852214" w:rsidTr="00D51602">
        <w:trPr>
          <w:trHeight w:val="255"/>
        </w:trPr>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33</w:t>
            </w:r>
          </w:p>
        </w:tc>
        <w:tc>
          <w:tcPr>
            <w:tcW w:w="5147" w:type="dxa"/>
            <w:shd w:val="clear" w:color="000000" w:fill="FFFFFF"/>
            <w:tcMar>
              <w:top w:w="15" w:type="dxa"/>
              <w:left w:w="15" w:type="dxa"/>
              <w:bottom w:w="0" w:type="dxa"/>
              <w:right w:w="15" w:type="dxa"/>
            </w:tcMar>
            <w:vAlign w:val="cente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Общий запрет на право создавать и вступать в организации</w:t>
            </w:r>
          </w:p>
        </w:tc>
        <w:tc>
          <w:tcPr>
            <w:tcW w:w="83" w:type="dxa"/>
            <w:shd w:val="clear" w:color="000000" w:fill="FFFFFF"/>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4.54</w:t>
            </w:r>
          </w:p>
        </w:tc>
        <w:tc>
          <w:tcPr>
            <w:tcW w:w="103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0.65</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4.71</w:t>
            </w:r>
          </w:p>
        </w:tc>
        <w:tc>
          <w:tcPr>
            <w:tcW w:w="1217"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0.61</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1.93</w:t>
            </w:r>
          </w:p>
        </w:tc>
      </w:tr>
      <w:tr w:rsidR="004545A5" w:rsidRPr="00852214" w:rsidTr="00D51602">
        <w:trPr>
          <w:trHeight w:val="255"/>
        </w:trPr>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34</w:t>
            </w:r>
          </w:p>
        </w:tc>
        <w:tc>
          <w:tcPr>
            <w:tcW w:w="5147" w:type="dxa"/>
            <w:shd w:val="clear" w:color="000000" w:fill="FFFFFF"/>
            <w:tcMar>
              <w:top w:w="15" w:type="dxa"/>
              <w:left w:w="15" w:type="dxa"/>
              <w:bottom w:w="0" w:type="dxa"/>
              <w:right w:w="15" w:type="dxa"/>
            </w:tcMar>
            <w:vAlign w:val="cente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Исключение других работодателей от права создавать и присоединяться к организациям</w:t>
            </w:r>
          </w:p>
        </w:tc>
        <w:tc>
          <w:tcPr>
            <w:tcW w:w="83" w:type="dxa"/>
            <w:shd w:val="clear" w:color="000000" w:fill="FFFFFF"/>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4.39</w:t>
            </w:r>
          </w:p>
        </w:tc>
        <w:tc>
          <w:tcPr>
            <w:tcW w:w="103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0.51</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4.43</w:t>
            </w:r>
          </w:p>
        </w:tc>
        <w:tc>
          <w:tcPr>
            <w:tcW w:w="1217"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0.51</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1.86</w:t>
            </w:r>
          </w:p>
        </w:tc>
      </w:tr>
      <w:tr w:rsidR="004545A5" w:rsidRPr="00852214" w:rsidTr="00D51602">
        <w:trPr>
          <w:trHeight w:val="255"/>
        </w:trPr>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35</w:t>
            </w:r>
          </w:p>
        </w:tc>
        <w:tc>
          <w:tcPr>
            <w:tcW w:w="5147" w:type="dxa"/>
            <w:shd w:val="clear" w:color="000000" w:fill="FFFFFF"/>
            <w:tcMar>
              <w:top w:w="15" w:type="dxa"/>
              <w:left w:w="15" w:type="dxa"/>
              <w:bottom w:w="0" w:type="dxa"/>
              <w:right w:w="15" w:type="dxa"/>
            </w:tcMar>
            <w:vAlign w:val="cente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Предыдущие требования к авторизации</w:t>
            </w:r>
          </w:p>
        </w:tc>
        <w:tc>
          <w:tcPr>
            <w:tcW w:w="83" w:type="dxa"/>
            <w:shd w:val="clear" w:color="000000" w:fill="FFFFFF"/>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w:t>
            </w:r>
          </w:p>
        </w:tc>
        <w:tc>
          <w:tcPr>
            <w:tcW w:w="1019"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3.77</w:t>
            </w:r>
          </w:p>
        </w:tc>
        <w:tc>
          <w:tcPr>
            <w:tcW w:w="103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0.70</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3.79</w:t>
            </w:r>
          </w:p>
        </w:tc>
        <w:tc>
          <w:tcPr>
            <w:tcW w:w="1217"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0.43</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1.70</w:t>
            </w:r>
          </w:p>
        </w:tc>
      </w:tr>
      <w:tr w:rsidR="004545A5" w:rsidRPr="00852214" w:rsidTr="00D51602">
        <w:trPr>
          <w:trHeight w:val="255"/>
        </w:trPr>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36</w:t>
            </w:r>
          </w:p>
        </w:tc>
        <w:tc>
          <w:tcPr>
            <w:tcW w:w="5147" w:type="dxa"/>
            <w:shd w:val="clear" w:color="000000" w:fill="FFFFFF"/>
            <w:tcMar>
              <w:top w:w="15" w:type="dxa"/>
              <w:left w:w="15" w:type="dxa"/>
              <w:bottom w:w="0" w:type="dxa"/>
              <w:right w:w="15" w:type="dxa"/>
            </w:tcMar>
            <w:vAlign w:val="cente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Ограничения на свободу выбора структуры и состава организаций работодателей</w:t>
            </w:r>
          </w:p>
        </w:tc>
        <w:tc>
          <w:tcPr>
            <w:tcW w:w="83" w:type="dxa"/>
            <w:shd w:val="clear" w:color="000000" w:fill="FFFFFF"/>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3.62</w:t>
            </w:r>
          </w:p>
        </w:tc>
        <w:tc>
          <w:tcPr>
            <w:tcW w:w="103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0.74</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3.79</w:t>
            </w:r>
          </w:p>
        </w:tc>
        <w:tc>
          <w:tcPr>
            <w:tcW w:w="1217"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0.58</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1.70</w:t>
            </w:r>
          </w:p>
        </w:tc>
      </w:tr>
      <w:tr w:rsidR="004545A5" w:rsidRPr="00852214" w:rsidTr="00D51602">
        <w:trPr>
          <w:trHeight w:val="255"/>
        </w:trPr>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37</w:t>
            </w:r>
          </w:p>
        </w:tc>
        <w:tc>
          <w:tcPr>
            <w:tcW w:w="5147" w:type="dxa"/>
            <w:shd w:val="clear" w:color="000000" w:fill="FFFFFF"/>
            <w:tcMar>
              <w:top w:w="15" w:type="dxa"/>
              <w:left w:w="15" w:type="dxa"/>
              <w:bottom w:w="0" w:type="dxa"/>
              <w:right w:w="15" w:type="dxa"/>
            </w:tcMar>
            <w:vAlign w:val="cente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lang w:val="en-US"/>
              </w:rPr>
            </w:pPr>
            <w:proofErr w:type="spellStart"/>
            <w:r w:rsidRPr="00852214">
              <w:rPr>
                <w:rFonts w:ascii="Times New Roman" w:hAnsi="Times New Roman" w:cs="Times New Roman"/>
                <w:sz w:val="24"/>
                <w:szCs w:val="24"/>
                <w:lang w:val="en-US"/>
              </w:rPr>
              <w:t>Навязанное</w:t>
            </w:r>
            <w:proofErr w:type="spellEnd"/>
            <w:r w:rsidRPr="00852214">
              <w:rPr>
                <w:rFonts w:ascii="Times New Roman" w:hAnsi="Times New Roman" w:cs="Times New Roman"/>
                <w:sz w:val="24"/>
                <w:szCs w:val="24"/>
                <w:lang w:val="en-US"/>
              </w:rPr>
              <w:t xml:space="preserve"> </w:t>
            </w:r>
            <w:proofErr w:type="spellStart"/>
            <w:r w:rsidRPr="00852214">
              <w:rPr>
                <w:rFonts w:ascii="Times New Roman" w:hAnsi="Times New Roman" w:cs="Times New Roman"/>
                <w:sz w:val="24"/>
                <w:szCs w:val="24"/>
                <w:lang w:val="en-US"/>
              </w:rPr>
              <w:t>единство</w:t>
            </w:r>
            <w:proofErr w:type="spellEnd"/>
            <w:r w:rsidRPr="00852214">
              <w:rPr>
                <w:rFonts w:ascii="Times New Roman" w:hAnsi="Times New Roman" w:cs="Times New Roman"/>
                <w:sz w:val="24"/>
                <w:szCs w:val="24"/>
                <w:lang w:val="en-US"/>
              </w:rPr>
              <w:t xml:space="preserve"> </w:t>
            </w:r>
            <w:proofErr w:type="spellStart"/>
            <w:r w:rsidRPr="00852214">
              <w:rPr>
                <w:rFonts w:ascii="Times New Roman" w:hAnsi="Times New Roman" w:cs="Times New Roman"/>
                <w:sz w:val="24"/>
                <w:szCs w:val="24"/>
                <w:lang w:val="en-US"/>
              </w:rPr>
              <w:t>организаций</w:t>
            </w:r>
            <w:proofErr w:type="spellEnd"/>
            <w:r w:rsidRPr="00852214">
              <w:rPr>
                <w:rFonts w:ascii="Times New Roman" w:hAnsi="Times New Roman" w:cs="Times New Roman"/>
                <w:sz w:val="24"/>
                <w:szCs w:val="24"/>
                <w:lang w:val="en-US"/>
              </w:rPr>
              <w:t xml:space="preserve"> </w:t>
            </w:r>
            <w:proofErr w:type="spellStart"/>
            <w:r w:rsidRPr="00852214">
              <w:rPr>
                <w:rFonts w:ascii="Times New Roman" w:hAnsi="Times New Roman" w:cs="Times New Roman"/>
                <w:sz w:val="24"/>
                <w:szCs w:val="24"/>
                <w:lang w:val="en-US"/>
              </w:rPr>
              <w:t>работодателей</w:t>
            </w:r>
            <w:proofErr w:type="spellEnd"/>
          </w:p>
        </w:tc>
        <w:tc>
          <w:tcPr>
            <w:tcW w:w="83" w:type="dxa"/>
            <w:shd w:val="clear" w:color="000000" w:fill="FFFFFF"/>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lang w:val="en-US"/>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3.91</w:t>
            </w:r>
          </w:p>
        </w:tc>
        <w:tc>
          <w:tcPr>
            <w:tcW w:w="103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0.80</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3.79</w:t>
            </w:r>
          </w:p>
        </w:tc>
        <w:tc>
          <w:tcPr>
            <w:tcW w:w="1217"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0.70</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1.70</w:t>
            </w:r>
          </w:p>
        </w:tc>
      </w:tr>
      <w:tr w:rsidR="004545A5" w:rsidRPr="00852214" w:rsidTr="00D51602">
        <w:trPr>
          <w:trHeight w:val="255"/>
        </w:trPr>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38</w:t>
            </w:r>
          </w:p>
        </w:tc>
        <w:tc>
          <w:tcPr>
            <w:tcW w:w="5147" w:type="dxa"/>
            <w:shd w:val="clear" w:color="000000" w:fill="FFFFFF"/>
            <w:tcMar>
              <w:top w:w="15" w:type="dxa"/>
              <w:left w:w="15" w:type="dxa"/>
              <w:bottom w:w="0" w:type="dxa"/>
              <w:right w:w="15" w:type="dxa"/>
            </w:tcMar>
            <w:vAlign w:val="cente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Расторжение/приостановление деятельности юридически функционирующих организаций</w:t>
            </w:r>
          </w:p>
        </w:tc>
        <w:tc>
          <w:tcPr>
            <w:tcW w:w="83" w:type="dxa"/>
            <w:shd w:val="clear" w:color="000000" w:fill="FFFFFF"/>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4.58</w:t>
            </w:r>
          </w:p>
        </w:tc>
        <w:tc>
          <w:tcPr>
            <w:tcW w:w="103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0.52</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4.79</w:t>
            </w:r>
          </w:p>
        </w:tc>
        <w:tc>
          <w:tcPr>
            <w:tcW w:w="1217"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0.43</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1.95</w:t>
            </w:r>
          </w:p>
        </w:tc>
      </w:tr>
      <w:tr w:rsidR="004545A5" w:rsidRPr="00852214" w:rsidTr="00D51602">
        <w:trPr>
          <w:trHeight w:val="255"/>
        </w:trPr>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39</w:t>
            </w:r>
          </w:p>
        </w:tc>
        <w:tc>
          <w:tcPr>
            <w:tcW w:w="5147" w:type="dxa"/>
            <w:shd w:val="clear" w:color="000000" w:fill="FFFFFF"/>
            <w:tcMar>
              <w:top w:w="15" w:type="dxa"/>
              <w:left w:w="15" w:type="dxa"/>
              <w:bottom w:w="0" w:type="dxa"/>
              <w:right w:w="15" w:type="dxa"/>
            </w:tcMar>
            <w:vAlign w:val="cente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Положения в законодательстве, допускающие вмешательство рабочих организаций и/или государственных органов</w:t>
            </w:r>
          </w:p>
        </w:tc>
        <w:tc>
          <w:tcPr>
            <w:tcW w:w="83" w:type="dxa"/>
            <w:shd w:val="clear" w:color="000000" w:fill="FFFFFF"/>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3.85</w:t>
            </w:r>
          </w:p>
        </w:tc>
        <w:tc>
          <w:tcPr>
            <w:tcW w:w="103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0.83</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4.00</w:t>
            </w:r>
          </w:p>
        </w:tc>
        <w:tc>
          <w:tcPr>
            <w:tcW w:w="1217"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0.68</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1.75</w:t>
            </w:r>
          </w:p>
        </w:tc>
      </w:tr>
      <w:tr w:rsidR="004545A5" w:rsidRPr="00852214" w:rsidTr="00D51602">
        <w:trPr>
          <w:trHeight w:val="255"/>
        </w:trPr>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40</w:t>
            </w:r>
          </w:p>
        </w:tc>
        <w:tc>
          <w:tcPr>
            <w:tcW w:w="5147" w:type="dxa"/>
            <w:shd w:val="clear" w:color="000000" w:fill="FFFFFF"/>
            <w:tcMar>
              <w:top w:w="15" w:type="dxa"/>
              <w:left w:w="15" w:type="dxa"/>
              <w:bottom w:w="0" w:type="dxa"/>
              <w:right w:w="15" w:type="dxa"/>
            </w:tcMar>
            <w:vAlign w:val="cente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Отсутствие адекватных юридических гарантий от актов вмешательства</w:t>
            </w:r>
          </w:p>
        </w:tc>
        <w:tc>
          <w:tcPr>
            <w:tcW w:w="83" w:type="dxa"/>
            <w:shd w:val="clear" w:color="000000" w:fill="FFFFFF"/>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3.85</w:t>
            </w:r>
          </w:p>
        </w:tc>
        <w:tc>
          <w:tcPr>
            <w:tcW w:w="103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1.14</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4.07</w:t>
            </w:r>
          </w:p>
        </w:tc>
        <w:tc>
          <w:tcPr>
            <w:tcW w:w="1217"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0.73</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1.77</w:t>
            </w:r>
          </w:p>
        </w:tc>
      </w:tr>
      <w:tr w:rsidR="004545A5" w:rsidRPr="00852214" w:rsidTr="00D51602">
        <w:trPr>
          <w:trHeight w:val="255"/>
        </w:trPr>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41</w:t>
            </w:r>
          </w:p>
        </w:tc>
        <w:tc>
          <w:tcPr>
            <w:tcW w:w="5147" w:type="dxa"/>
            <w:shd w:val="clear" w:color="000000" w:fill="FFFFFF"/>
            <w:tcMar>
              <w:top w:w="15" w:type="dxa"/>
              <w:left w:w="15" w:type="dxa"/>
              <w:bottom w:w="0" w:type="dxa"/>
              <w:right w:w="15" w:type="dxa"/>
            </w:tcMar>
            <w:vAlign w:val="cente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Нарушения права создавать и вступать в федерации/конфедерации/международные организации</w:t>
            </w:r>
          </w:p>
        </w:tc>
        <w:tc>
          <w:tcPr>
            <w:tcW w:w="83" w:type="dxa"/>
            <w:shd w:val="clear" w:color="000000" w:fill="FFFFFF"/>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3.83</w:t>
            </w:r>
          </w:p>
        </w:tc>
        <w:tc>
          <w:tcPr>
            <w:tcW w:w="103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0.80</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4.14</w:t>
            </w:r>
          </w:p>
        </w:tc>
        <w:tc>
          <w:tcPr>
            <w:tcW w:w="1217"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0.53</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1.79</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42</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Отсутствие гарантии надлежащего судебного разбирательства и/или нарушения справедливости </w:t>
            </w:r>
            <w:proofErr w:type="spellStart"/>
            <w:r w:rsidRPr="00852214">
              <w:rPr>
                <w:rFonts w:ascii="Times New Roman" w:hAnsi="Times New Roman" w:cs="Times New Roman"/>
                <w:sz w:val="24"/>
                <w:szCs w:val="24"/>
                <w:lang w:val="en-US"/>
              </w:rPr>
              <w:t>nos</w:t>
            </w:r>
            <w:proofErr w:type="spellEnd"/>
            <w:r w:rsidRPr="00852214">
              <w:rPr>
                <w:rFonts w:ascii="Times New Roman" w:hAnsi="Times New Roman" w:cs="Times New Roman"/>
                <w:sz w:val="24"/>
                <w:szCs w:val="24"/>
              </w:rPr>
              <w:t>. 33-41</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3.93</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1.11</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4.07</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0.62</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1.77</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proofErr w:type="spellStart"/>
            <w:r w:rsidRPr="00852214">
              <w:rPr>
                <w:rFonts w:ascii="Times New Roman" w:hAnsi="Times New Roman" w:cs="Times New Roman"/>
                <w:b/>
                <w:bCs/>
                <w:sz w:val="24"/>
                <w:szCs w:val="24"/>
                <w:lang w:val="en-US"/>
              </w:rPr>
              <w:t>IIIa</w:t>
            </w:r>
            <w:proofErr w:type="spellEnd"/>
            <w:r w:rsidRPr="00852214">
              <w:rPr>
                <w:rFonts w:ascii="Times New Roman" w:hAnsi="Times New Roman" w:cs="Times New Roman"/>
                <w:b/>
                <w:bCs/>
                <w:sz w:val="24"/>
                <w:szCs w:val="24"/>
              </w:rPr>
              <w:t xml:space="preserve">. </w:t>
            </w:r>
            <w:r w:rsidR="004545A5" w:rsidRPr="00852214">
              <w:rPr>
                <w:rFonts w:ascii="Times New Roman" w:hAnsi="Times New Roman" w:cs="Times New Roman"/>
                <w:b/>
                <w:bCs/>
                <w:sz w:val="24"/>
                <w:szCs w:val="24"/>
              </w:rPr>
              <w:t>Другая деятельность организаций работодателей в области права</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r w:rsidRPr="00852214">
              <w:rPr>
                <w:rFonts w:ascii="Times New Roman" w:hAnsi="Times New Roman" w:cs="Times New Roman"/>
                <w:b/>
                <w:bCs/>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43</w:t>
            </w:r>
          </w:p>
        </w:tc>
        <w:tc>
          <w:tcPr>
            <w:tcW w:w="5147" w:type="dxa"/>
            <w:shd w:val="clear" w:color="000000" w:fill="FFFFFF"/>
            <w:tcMar>
              <w:top w:w="15" w:type="dxa"/>
              <w:left w:w="15" w:type="dxa"/>
              <w:bottom w:w="0" w:type="dxa"/>
              <w:right w:w="15" w:type="dxa"/>
            </w:tcMar>
            <w:vAlign w:val="center"/>
            <w:hideMark/>
          </w:tcPr>
          <w:p w:rsidR="00003BD9"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Нарушения права свободно составлять конституции и внутренние правила и управление</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3.54</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0.85</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3.50</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0.76</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1.63</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44</w:t>
            </w:r>
          </w:p>
        </w:tc>
        <w:tc>
          <w:tcPr>
            <w:tcW w:w="5147" w:type="dxa"/>
            <w:shd w:val="clear" w:color="000000" w:fill="FFFFFF"/>
            <w:tcMar>
              <w:top w:w="15" w:type="dxa"/>
              <w:left w:w="15" w:type="dxa"/>
              <w:bottom w:w="0" w:type="dxa"/>
              <w:right w:w="15" w:type="dxa"/>
            </w:tcMar>
            <w:vAlign w:val="center"/>
            <w:hideMark/>
          </w:tcPr>
          <w:p w:rsidR="00003BD9"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Нарушения права свободно избирать представителей</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3.93</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0.96</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4.21</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0.80</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1.80</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45</w:t>
            </w:r>
          </w:p>
        </w:tc>
        <w:tc>
          <w:tcPr>
            <w:tcW w:w="5147" w:type="dxa"/>
            <w:shd w:val="clear" w:color="000000" w:fill="FFFFFF"/>
            <w:tcMar>
              <w:top w:w="15" w:type="dxa"/>
              <w:left w:w="15" w:type="dxa"/>
              <w:bottom w:w="0" w:type="dxa"/>
              <w:right w:w="15" w:type="dxa"/>
            </w:tcMar>
            <w:vAlign w:val="center"/>
            <w:hideMark/>
          </w:tcPr>
          <w:p w:rsidR="00003BD9"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Нарушения права свободно организовывать и контролировать финансовое управление</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3.46</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0.94</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3.36</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0.93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1.59</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46</w:t>
            </w:r>
          </w:p>
        </w:tc>
        <w:tc>
          <w:tcPr>
            <w:tcW w:w="5147" w:type="dxa"/>
            <w:shd w:val="clear" w:color="000000" w:fill="FFFFFF"/>
            <w:tcMar>
              <w:top w:w="15" w:type="dxa"/>
              <w:left w:w="15" w:type="dxa"/>
              <w:bottom w:w="0" w:type="dxa"/>
              <w:right w:w="15" w:type="dxa"/>
            </w:tcMar>
            <w:vAlign w:val="center"/>
            <w:hideMark/>
          </w:tcPr>
          <w:p w:rsidR="00003BD9"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Нарушения права свободно организовывать мероприятия/программы</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3.99</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4.21</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0.43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1.80</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47</w:t>
            </w:r>
          </w:p>
        </w:tc>
        <w:tc>
          <w:tcPr>
            <w:tcW w:w="5147" w:type="dxa"/>
            <w:shd w:val="clear" w:color="000000" w:fill="FFFFFF"/>
            <w:tcMar>
              <w:top w:w="15" w:type="dxa"/>
              <w:left w:w="15" w:type="dxa"/>
              <w:bottom w:w="0" w:type="dxa"/>
              <w:right w:w="15" w:type="dxa"/>
            </w:tcMar>
            <w:vAlign w:val="center"/>
            <w:hideMark/>
          </w:tcPr>
          <w:p w:rsidR="00003BD9" w:rsidRPr="00852214" w:rsidRDefault="004545A5" w:rsidP="00852214">
            <w:pPr>
              <w:spacing w:before="100" w:beforeAutospacing="1" w:after="100" w:afterAutospacing="1" w:line="276" w:lineRule="auto"/>
              <w:jc w:val="both"/>
              <w:rPr>
                <w:rFonts w:ascii="Times New Roman" w:hAnsi="Times New Roman" w:cs="Times New Roman"/>
                <w:sz w:val="24"/>
                <w:szCs w:val="24"/>
                <w:lang w:val="en-US"/>
              </w:rPr>
            </w:pPr>
            <w:proofErr w:type="spellStart"/>
            <w:r w:rsidRPr="00852214">
              <w:rPr>
                <w:rFonts w:ascii="Times New Roman" w:hAnsi="Times New Roman" w:cs="Times New Roman"/>
                <w:sz w:val="24"/>
                <w:szCs w:val="24"/>
                <w:lang w:val="en-US"/>
              </w:rPr>
              <w:t>Запрет</w:t>
            </w:r>
            <w:proofErr w:type="spellEnd"/>
            <w:r w:rsidRPr="00852214">
              <w:rPr>
                <w:rFonts w:ascii="Times New Roman" w:hAnsi="Times New Roman" w:cs="Times New Roman"/>
                <w:sz w:val="24"/>
                <w:szCs w:val="24"/>
                <w:lang w:val="en-US"/>
              </w:rPr>
              <w:t xml:space="preserve"> </w:t>
            </w:r>
            <w:proofErr w:type="spellStart"/>
            <w:r w:rsidRPr="00852214">
              <w:rPr>
                <w:rFonts w:ascii="Times New Roman" w:hAnsi="Times New Roman" w:cs="Times New Roman"/>
                <w:sz w:val="24"/>
                <w:szCs w:val="24"/>
                <w:lang w:val="en-US"/>
              </w:rPr>
              <w:t>всей</w:t>
            </w:r>
            <w:proofErr w:type="spellEnd"/>
            <w:r w:rsidRPr="00852214">
              <w:rPr>
                <w:rFonts w:ascii="Times New Roman" w:hAnsi="Times New Roman" w:cs="Times New Roman"/>
                <w:sz w:val="24"/>
                <w:szCs w:val="24"/>
                <w:lang w:val="en-US"/>
              </w:rPr>
              <w:t xml:space="preserve"> </w:t>
            </w:r>
            <w:proofErr w:type="spellStart"/>
            <w:r w:rsidRPr="00852214">
              <w:rPr>
                <w:rFonts w:ascii="Times New Roman" w:hAnsi="Times New Roman" w:cs="Times New Roman"/>
                <w:sz w:val="24"/>
                <w:szCs w:val="24"/>
                <w:lang w:val="en-US"/>
              </w:rPr>
              <w:t>политической</w:t>
            </w:r>
            <w:proofErr w:type="spellEnd"/>
            <w:r w:rsidRPr="00852214">
              <w:rPr>
                <w:rFonts w:ascii="Times New Roman" w:hAnsi="Times New Roman" w:cs="Times New Roman"/>
                <w:sz w:val="24"/>
                <w:szCs w:val="24"/>
                <w:lang w:val="en-US"/>
              </w:rPr>
              <w:t xml:space="preserve"> </w:t>
            </w:r>
            <w:proofErr w:type="spellStart"/>
            <w:r w:rsidRPr="00852214">
              <w:rPr>
                <w:rFonts w:ascii="Times New Roman" w:hAnsi="Times New Roman" w:cs="Times New Roman"/>
                <w:sz w:val="24"/>
                <w:szCs w:val="24"/>
                <w:lang w:val="en-US"/>
              </w:rPr>
              <w:t>деятельности</w:t>
            </w:r>
            <w:proofErr w:type="spellEnd"/>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lang w:val="en-US"/>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3.62</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1.34</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3.93</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0.92</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1.73</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48</w:t>
            </w:r>
          </w:p>
        </w:tc>
        <w:tc>
          <w:tcPr>
            <w:tcW w:w="5147" w:type="dxa"/>
            <w:shd w:val="clear" w:color="000000" w:fill="FFFFFF"/>
            <w:tcMar>
              <w:top w:w="15" w:type="dxa"/>
              <w:left w:w="15" w:type="dxa"/>
              <w:bottom w:w="0" w:type="dxa"/>
              <w:right w:w="15" w:type="dxa"/>
            </w:tcMar>
            <w:vAlign w:val="center"/>
            <w:hideMark/>
          </w:tcPr>
          <w:p w:rsidR="00003BD9"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Запрещение доступа работодателей к их </w:t>
            </w:r>
            <w:r w:rsidRPr="00852214">
              <w:rPr>
                <w:rFonts w:ascii="Times New Roman" w:hAnsi="Times New Roman" w:cs="Times New Roman"/>
                <w:sz w:val="24"/>
                <w:szCs w:val="24"/>
              </w:rPr>
              <w:lastRenderedPageBreak/>
              <w:t>помещениям во время производственной деятельности</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lastRenderedPageBreak/>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3.31</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1.07</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3.43</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0.65</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1.61</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lastRenderedPageBreak/>
              <w:t>49</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Отсутствие гарантии надлежащего судебного разбирательства и/или нарушения справедливости </w:t>
            </w:r>
            <w:proofErr w:type="spellStart"/>
            <w:r w:rsidRPr="00852214">
              <w:rPr>
                <w:rFonts w:ascii="Times New Roman" w:hAnsi="Times New Roman" w:cs="Times New Roman"/>
                <w:sz w:val="24"/>
                <w:szCs w:val="24"/>
                <w:lang w:val="en-US"/>
              </w:rPr>
              <w:t>nos</w:t>
            </w:r>
            <w:proofErr w:type="spellEnd"/>
            <w:r w:rsidRPr="00852214">
              <w:rPr>
                <w:rFonts w:ascii="Times New Roman" w:hAnsi="Times New Roman" w:cs="Times New Roman"/>
                <w:sz w:val="24"/>
                <w:szCs w:val="24"/>
              </w:rPr>
              <w:t>. 43-48</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4.00</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1.24</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4.29</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1.82</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proofErr w:type="spellStart"/>
            <w:r w:rsidRPr="00852214">
              <w:rPr>
                <w:rFonts w:ascii="Times New Roman" w:hAnsi="Times New Roman" w:cs="Times New Roman"/>
                <w:b/>
                <w:bCs/>
                <w:sz w:val="24"/>
                <w:szCs w:val="24"/>
                <w:lang w:val="en-US"/>
              </w:rPr>
              <w:t>IIIb</w:t>
            </w:r>
            <w:proofErr w:type="spellEnd"/>
            <w:r w:rsidRPr="00852214">
              <w:rPr>
                <w:rFonts w:ascii="Times New Roman" w:hAnsi="Times New Roman" w:cs="Times New Roman"/>
                <w:b/>
                <w:bCs/>
                <w:sz w:val="24"/>
                <w:szCs w:val="24"/>
              </w:rPr>
              <w:t xml:space="preserve">. </w:t>
            </w:r>
            <w:r w:rsidR="004545A5" w:rsidRPr="00852214">
              <w:rPr>
                <w:rFonts w:ascii="Times New Roman" w:hAnsi="Times New Roman" w:cs="Times New Roman"/>
                <w:b/>
                <w:bCs/>
                <w:sz w:val="24"/>
                <w:szCs w:val="24"/>
              </w:rPr>
              <w:t>Другая деятельность организаций работодателей на практике</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r w:rsidRPr="00852214">
              <w:rPr>
                <w:rFonts w:ascii="Times New Roman" w:hAnsi="Times New Roman" w:cs="Times New Roman"/>
                <w:b/>
                <w:bCs/>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r>
      <w:tr w:rsidR="004545A5" w:rsidRPr="00852214" w:rsidTr="00D51602">
        <w:trPr>
          <w:trHeight w:val="255"/>
        </w:trPr>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50</w:t>
            </w:r>
          </w:p>
        </w:tc>
        <w:tc>
          <w:tcPr>
            <w:tcW w:w="5147" w:type="dxa"/>
            <w:shd w:val="clear" w:color="000000" w:fill="FFFFFF"/>
            <w:tcMar>
              <w:top w:w="15" w:type="dxa"/>
              <w:left w:w="15" w:type="dxa"/>
              <w:bottom w:w="0" w:type="dxa"/>
              <w:right w:w="15" w:type="dxa"/>
            </w:tcMar>
            <w:vAlign w:val="cente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Нарушения права свободно составлять конституции и внутренние правила и управление</w:t>
            </w:r>
          </w:p>
        </w:tc>
        <w:tc>
          <w:tcPr>
            <w:tcW w:w="83" w:type="dxa"/>
            <w:shd w:val="clear" w:color="000000" w:fill="FFFFFF"/>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3.92</w:t>
            </w:r>
          </w:p>
        </w:tc>
        <w:tc>
          <w:tcPr>
            <w:tcW w:w="103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0.77</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4.00</w:t>
            </w:r>
          </w:p>
        </w:tc>
        <w:tc>
          <w:tcPr>
            <w:tcW w:w="1217"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0.55</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1.75</w:t>
            </w:r>
          </w:p>
        </w:tc>
      </w:tr>
      <w:tr w:rsidR="004545A5" w:rsidRPr="00852214" w:rsidTr="00D51602">
        <w:trPr>
          <w:trHeight w:val="255"/>
        </w:trPr>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51</w:t>
            </w:r>
          </w:p>
        </w:tc>
        <w:tc>
          <w:tcPr>
            <w:tcW w:w="5147" w:type="dxa"/>
            <w:shd w:val="clear" w:color="000000" w:fill="FFFFFF"/>
            <w:tcMar>
              <w:top w:w="15" w:type="dxa"/>
              <w:left w:w="15" w:type="dxa"/>
              <w:bottom w:w="0" w:type="dxa"/>
              <w:right w:w="15" w:type="dxa"/>
            </w:tcMar>
            <w:vAlign w:val="cente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Нарушения права свободно избирать представителей</w:t>
            </w:r>
          </w:p>
        </w:tc>
        <w:tc>
          <w:tcPr>
            <w:tcW w:w="83" w:type="dxa"/>
            <w:shd w:val="clear" w:color="000000" w:fill="FFFFFF"/>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4.16</w:t>
            </w:r>
          </w:p>
        </w:tc>
        <w:tc>
          <w:tcPr>
            <w:tcW w:w="103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0.70</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4.29</w:t>
            </w:r>
          </w:p>
        </w:tc>
        <w:tc>
          <w:tcPr>
            <w:tcW w:w="1217"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0.61</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1.82</w:t>
            </w:r>
          </w:p>
        </w:tc>
      </w:tr>
      <w:tr w:rsidR="004545A5" w:rsidRPr="00852214" w:rsidTr="00D51602">
        <w:trPr>
          <w:trHeight w:val="255"/>
        </w:trPr>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52</w:t>
            </w:r>
          </w:p>
        </w:tc>
        <w:tc>
          <w:tcPr>
            <w:tcW w:w="5147" w:type="dxa"/>
            <w:shd w:val="clear" w:color="000000" w:fill="FFFFFF"/>
            <w:tcMar>
              <w:top w:w="15" w:type="dxa"/>
              <w:left w:w="15" w:type="dxa"/>
              <w:bottom w:w="0" w:type="dxa"/>
              <w:right w:w="15" w:type="dxa"/>
            </w:tcMar>
            <w:vAlign w:val="cente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Нарушения права свободно организовывать и контролировать финансовое управление</w:t>
            </w:r>
          </w:p>
        </w:tc>
        <w:tc>
          <w:tcPr>
            <w:tcW w:w="83" w:type="dxa"/>
            <w:shd w:val="clear" w:color="000000" w:fill="FFFFFF"/>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3.92</w:t>
            </w:r>
          </w:p>
        </w:tc>
        <w:tc>
          <w:tcPr>
            <w:tcW w:w="103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0.66</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3.86</w:t>
            </w:r>
          </w:p>
        </w:tc>
        <w:tc>
          <w:tcPr>
            <w:tcW w:w="1217"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0.53</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1.71</w:t>
            </w:r>
          </w:p>
        </w:tc>
      </w:tr>
      <w:tr w:rsidR="004545A5" w:rsidRPr="00852214" w:rsidTr="00D51602">
        <w:trPr>
          <w:trHeight w:val="255"/>
        </w:trPr>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53</w:t>
            </w:r>
          </w:p>
        </w:tc>
        <w:tc>
          <w:tcPr>
            <w:tcW w:w="5147" w:type="dxa"/>
            <w:shd w:val="clear" w:color="000000" w:fill="FFFFFF"/>
            <w:tcMar>
              <w:top w:w="15" w:type="dxa"/>
              <w:left w:w="15" w:type="dxa"/>
              <w:bottom w:w="0" w:type="dxa"/>
              <w:right w:w="15" w:type="dxa"/>
            </w:tcMar>
            <w:vAlign w:val="cente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Нарушения права свободно организовывать мероприятия/программы</w:t>
            </w:r>
          </w:p>
        </w:tc>
        <w:tc>
          <w:tcPr>
            <w:tcW w:w="83" w:type="dxa"/>
            <w:shd w:val="clear" w:color="000000" w:fill="FFFFFF"/>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4.07</w:t>
            </w:r>
          </w:p>
        </w:tc>
        <w:tc>
          <w:tcPr>
            <w:tcW w:w="103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0.96</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4.14</w:t>
            </w:r>
          </w:p>
        </w:tc>
        <w:tc>
          <w:tcPr>
            <w:tcW w:w="1217"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0.77</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1.79</w:t>
            </w:r>
          </w:p>
        </w:tc>
      </w:tr>
      <w:tr w:rsidR="004545A5" w:rsidRPr="00852214" w:rsidTr="00D51602">
        <w:trPr>
          <w:trHeight w:val="255"/>
        </w:trPr>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54</w:t>
            </w:r>
          </w:p>
        </w:tc>
        <w:tc>
          <w:tcPr>
            <w:tcW w:w="5147" w:type="dxa"/>
            <w:shd w:val="clear" w:color="000000" w:fill="FFFFFF"/>
            <w:tcMar>
              <w:top w:w="15" w:type="dxa"/>
              <w:left w:w="15" w:type="dxa"/>
              <w:bottom w:w="0" w:type="dxa"/>
              <w:right w:w="15" w:type="dxa"/>
            </w:tcMar>
            <w:vAlign w:val="cente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lang w:val="en-US"/>
              </w:rPr>
            </w:pPr>
            <w:proofErr w:type="spellStart"/>
            <w:r w:rsidRPr="00852214">
              <w:rPr>
                <w:rFonts w:ascii="Times New Roman" w:hAnsi="Times New Roman" w:cs="Times New Roman"/>
                <w:sz w:val="24"/>
                <w:szCs w:val="24"/>
                <w:lang w:val="en-US"/>
              </w:rPr>
              <w:t>Запрет</w:t>
            </w:r>
            <w:proofErr w:type="spellEnd"/>
            <w:r w:rsidRPr="00852214">
              <w:rPr>
                <w:rFonts w:ascii="Times New Roman" w:hAnsi="Times New Roman" w:cs="Times New Roman"/>
                <w:sz w:val="24"/>
                <w:szCs w:val="24"/>
                <w:lang w:val="en-US"/>
              </w:rPr>
              <w:t xml:space="preserve"> </w:t>
            </w:r>
            <w:proofErr w:type="spellStart"/>
            <w:r w:rsidRPr="00852214">
              <w:rPr>
                <w:rFonts w:ascii="Times New Roman" w:hAnsi="Times New Roman" w:cs="Times New Roman"/>
                <w:sz w:val="24"/>
                <w:szCs w:val="24"/>
                <w:lang w:val="en-US"/>
              </w:rPr>
              <w:t>всей</w:t>
            </w:r>
            <w:proofErr w:type="spellEnd"/>
            <w:r w:rsidRPr="00852214">
              <w:rPr>
                <w:rFonts w:ascii="Times New Roman" w:hAnsi="Times New Roman" w:cs="Times New Roman"/>
                <w:sz w:val="24"/>
                <w:szCs w:val="24"/>
                <w:lang w:val="en-US"/>
              </w:rPr>
              <w:t xml:space="preserve"> </w:t>
            </w:r>
            <w:proofErr w:type="spellStart"/>
            <w:r w:rsidRPr="00852214">
              <w:rPr>
                <w:rFonts w:ascii="Times New Roman" w:hAnsi="Times New Roman" w:cs="Times New Roman"/>
                <w:sz w:val="24"/>
                <w:szCs w:val="24"/>
                <w:lang w:val="en-US"/>
              </w:rPr>
              <w:t>политической</w:t>
            </w:r>
            <w:proofErr w:type="spellEnd"/>
            <w:r w:rsidRPr="00852214">
              <w:rPr>
                <w:rFonts w:ascii="Times New Roman" w:hAnsi="Times New Roman" w:cs="Times New Roman"/>
                <w:sz w:val="24"/>
                <w:szCs w:val="24"/>
                <w:lang w:val="en-US"/>
              </w:rPr>
              <w:t xml:space="preserve"> </w:t>
            </w:r>
            <w:proofErr w:type="spellStart"/>
            <w:r w:rsidRPr="00852214">
              <w:rPr>
                <w:rFonts w:ascii="Times New Roman" w:hAnsi="Times New Roman" w:cs="Times New Roman"/>
                <w:sz w:val="24"/>
                <w:szCs w:val="24"/>
                <w:lang w:val="en-US"/>
              </w:rPr>
              <w:t>деятельности</w:t>
            </w:r>
            <w:proofErr w:type="spellEnd"/>
          </w:p>
        </w:tc>
        <w:tc>
          <w:tcPr>
            <w:tcW w:w="83" w:type="dxa"/>
            <w:shd w:val="clear" w:color="000000" w:fill="FFFFFF"/>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lang w:val="en-US"/>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3.69</w:t>
            </w:r>
          </w:p>
        </w:tc>
        <w:tc>
          <w:tcPr>
            <w:tcW w:w="103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1.33</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3.79</w:t>
            </w:r>
          </w:p>
        </w:tc>
        <w:tc>
          <w:tcPr>
            <w:tcW w:w="1217"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1.05</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1.70</w:t>
            </w:r>
          </w:p>
        </w:tc>
      </w:tr>
      <w:tr w:rsidR="004545A5" w:rsidRPr="00852214" w:rsidTr="00D51602">
        <w:trPr>
          <w:trHeight w:val="255"/>
        </w:trPr>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55</w:t>
            </w:r>
          </w:p>
        </w:tc>
        <w:tc>
          <w:tcPr>
            <w:tcW w:w="5147" w:type="dxa"/>
            <w:shd w:val="clear" w:color="000000" w:fill="FFFFFF"/>
            <w:tcMar>
              <w:top w:w="15" w:type="dxa"/>
              <w:left w:w="15" w:type="dxa"/>
              <w:bottom w:w="0" w:type="dxa"/>
              <w:right w:w="15" w:type="dxa"/>
            </w:tcMar>
            <w:vAlign w:val="cente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Запрещение доступа работодателей к их помещениям во время производственной деятельности</w:t>
            </w:r>
          </w:p>
        </w:tc>
        <w:tc>
          <w:tcPr>
            <w:tcW w:w="83" w:type="dxa"/>
            <w:shd w:val="clear" w:color="000000" w:fill="FFFFFF"/>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3.54</w:t>
            </w:r>
          </w:p>
        </w:tc>
        <w:tc>
          <w:tcPr>
            <w:tcW w:w="103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0.94</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3.57</w:t>
            </w:r>
          </w:p>
        </w:tc>
        <w:tc>
          <w:tcPr>
            <w:tcW w:w="1217"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0.76</w:t>
            </w:r>
          </w:p>
        </w:tc>
        <w:tc>
          <w:tcPr>
            <w:tcW w:w="0" w:type="auto"/>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4545A5" w:rsidRPr="00852214" w:rsidRDefault="004545A5"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1.64</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56</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Отсутствие гарантии надлежащего судебного разбирательства и/или нарушения справедливости </w:t>
            </w:r>
            <w:proofErr w:type="spellStart"/>
            <w:r w:rsidRPr="00852214">
              <w:rPr>
                <w:rFonts w:ascii="Times New Roman" w:hAnsi="Times New Roman" w:cs="Times New Roman"/>
                <w:sz w:val="24"/>
                <w:szCs w:val="24"/>
                <w:lang w:val="en-US"/>
              </w:rPr>
              <w:t>nos</w:t>
            </w:r>
            <w:proofErr w:type="spellEnd"/>
            <w:r w:rsidRPr="00852214">
              <w:rPr>
                <w:rFonts w:ascii="Times New Roman" w:hAnsi="Times New Roman" w:cs="Times New Roman"/>
                <w:sz w:val="24"/>
                <w:szCs w:val="24"/>
              </w:rPr>
              <w:t>. 50-55</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3.85</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1.17</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4.14</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0.86</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1.79</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proofErr w:type="spellStart"/>
            <w:r w:rsidRPr="00852214">
              <w:rPr>
                <w:rFonts w:ascii="Times New Roman" w:hAnsi="Times New Roman" w:cs="Times New Roman"/>
                <w:b/>
                <w:bCs/>
                <w:sz w:val="24"/>
                <w:szCs w:val="24"/>
                <w:lang w:val="en-US"/>
              </w:rPr>
              <w:t>IVa</w:t>
            </w:r>
            <w:proofErr w:type="spellEnd"/>
            <w:r w:rsidRPr="00852214">
              <w:rPr>
                <w:rFonts w:ascii="Times New Roman" w:hAnsi="Times New Roman" w:cs="Times New Roman"/>
                <w:b/>
                <w:bCs/>
                <w:sz w:val="24"/>
                <w:szCs w:val="24"/>
              </w:rPr>
              <w:t xml:space="preserve">. </w:t>
            </w:r>
            <w:r w:rsidR="0094088F" w:rsidRPr="00852214">
              <w:rPr>
                <w:rFonts w:ascii="Times New Roman" w:hAnsi="Times New Roman" w:cs="Times New Roman"/>
                <w:b/>
                <w:bCs/>
                <w:sz w:val="24"/>
                <w:szCs w:val="24"/>
              </w:rPr>
              <w:t>Право на ведение коллективных переговоров</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r w:rsidRPr="00852214">
              <w:rPr>
                <w:rFonts w:ascii="Times New Roman" w:hAnsi="Times New Roman" w:cs="Times New Roman"/>
                <w:b/>
                <w:bCs/>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57</w:t>
            </w:r>
          </w:p>
        </w:tc>
        <w:tc>
          <w:tcPr>
            <w:tcW w:w="5147" w:type="dxa"/>
            <w:shd w:val="clear" w:color="000000" w:fill="FFFFFF"/>
            <w:tcMar>
              <w:top w:w="15" w:type="dxa"/>
              <w:left w:w="15" w:type="dxa"/>
              <w:bottom w:w="0" w:type="dxa"/>
              <w:right w:w="15" w:type="dxa"/>
            </w:tcMar>
            <w:vAlign w:val="center"/>
            <w:hideMark/>
          </w:tcPr>
          <w:p w:rsidR="00003BD9"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Общий запрет </w:t>
            </w:r>
            <w:proofErr w:type="gramStart"/>
            <w:r w:rsidRPr="00852214">
              <w:rPr>
                <w:rFonts w:ascii="Times New Roman" w:hAnsi="Times New Roman" w:cs="Times New Roman"/>
                <w:sz w:val="24"/>
                <w:szCs w:val="24"/>
              </w:rPr>
              <w:t>на право на</w:t>
            </w:r>
            <w:proofErr w:type="gramEnd"/>
            <w:r w:rsidRPr="00852214">
              <w:rPr>
                <w:rFonts w:ascii="Times New Roman" w:hAnsi="Times New Roman" w:cs="Times New Roman"/>
                <w:sz w:val="24"/>
                <w:szCs w:val="24"/>
              </w:rPr>
              <w:t xml:space="preserve"> ведение коллективных переговоров</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4.69</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0.61</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4.71</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0.47</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1.93</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58</w:t>
            </w:r>
          </w:p>
        </w:tc>
        <w:tc>
          <w:tcPr>
            <w:tcW w:w="5147" w:type="dxa"/>
            <w:shd w:val="clear" w:color="000000" w:fill="FFFFFF"/>
            <w:tcMar>
              <w:top w:w="15" w:type="dxa"/>
              <w:left w:w="15" w:type="dxa"/>
              <w:bottom w:w="0" w:type="dxa"/>
              <w:right w:w="15" w:type="dxa"/>
            </w:tcMar>
            <w:vAlign w:val="center"/>
            <w:hideMark/>
          </w:tcPr>
          <w:p w:rsidR="00003BD9" w:rsidRPr="00852214" w:rsidRDefault="0094088F" w:rsidP="00852214">
            <w:pPr>
              <w:spacing w:before="100" w:beforeAutospacing="1" w:after="100" w:afterAutospacing="1" w:line="276" w:lineRule="auto"/>
              <w:jc w:val="both"/>
              <w:rPr>
                <w:rFonts w:ascii="Times New Roman" w:hAnsi="Times New Roman" w:cs="Times New Roman"/>
                <w:sz w:val="24"/>
                <w:szCs w:val="24"/>
                <w:lang w:val="en-US"/>
              </w:rPr>
            </w:pPr>
            <w:proofErr w:type="spellStart"/>
            <w:r w:rsidRPr="00852214">
              <w:rPr>
                <w:rFonts w:ascii="Times New Roman" w:hAnsi="Times New Roman" w:cs="Times New Roman"/>
                <w:sz w:val="24"/>
                <w:szCs w:val="24"/>
                <w:lang w:val="en-US"/>
              </w:rPr>
              <w:t>Недостаточное</w:t>
            </w:r>
            <w:proofErr w:type="spellEnd"/>
            <w:r w:rsidRPr="00852214">
              <w:rPr>
                <w:rFonts w:ascii="Times New Roman" w:hAnsi="Times New Roman" w:cs="Times New Roman"/>
                <w:sz w:val="24"/>
                <w:szCs w:val="24"/>
                <w:lang w:val="en-US"/>
              </w:rPr>
              <w:t xml:space="preserve"> </w:t>
            </w:r>
            <w:proofErr w:type="spellStart"/>
            <w:r w:rsidRPr="00852214">
              <w:rPr>
                <w:rFonts w:ascii="Times New Roman" w:hAnsi="Times New Roman" w:cs="Times New Roman"/>
                <w:sz w:val="24"/>
                <w:szCs w:val="24"/>
                <w:lang w:val="en-US"/>
              </w:rPr>
              <w:t>продвижение</w:t>
            </w:r>
            <w:proofErr w:type="spellEnd"/>
            <w:r w:rsidRPr="00852214">
              <w:rPr>
                <w:rFonts w:ascii="Times New Roman" w:hAnsi="Times New Roman" w:cs="Times New Roman"/>
                <w:sz w:val="24"/>
                <w:szCs w:val="24"/>
                <w:lang w:val="en-US"/>
              </w:rPr>
              <w:t xml:space="preserve"> </w:t>
            </w:r>
            <w:proofErr w:type="spellStart"/>
            <w:r w:rsidRPr="00852214">
              <w:rPr>
                <w:rFonts w:ascii="Times New Roman" w:hAnsi="Times New Roman" w:cs="Times New Roman"/>
                <w:sz w:val="24"/>
                <w:szCs w:val="24"/>
                <w:lang w:val="en-US"/>
              </w:rPr>
              <w:t>коллективных</w:t>
            </w:r>
            <w:proofErr w:type="spellEnd"/>
            <w:r w:rsidRPr="00852214">
              <w:rPr>
                <w:rFonts w:ascii="Times New Roman" w:hAnsi="Times New Roman" w:cs="Times New Roman"/>
                <w:sz w:val="24"/>
                <w:szCs w:val="24"/>
                <w:lang w:val="en-US"/>
              </w:rPr>
              <w:t xml:space="preserve"> </w:t>
            </w:r>
            <w:proofErr w:type="spellStart"/>
            <w:r w:rsidRPr="00852214">
              <w:rPr>
                <w:rFonts w:ascii="Times New Roman" w:hAnsi="Times New Roman" w:cs="Times New Roman"/>
                <w:sz w:val="24"/>
                <w:szCs w:val="24"/>
                <w:lang w:val="en-US"/>
              </w:rPr>
              <w:t>переговоров</w:t>
            </w:r>
            <w:proofErr w:type="spellEnd"/>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lang w:val="en-US"/>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2.77</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0.97</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2.79</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0.70</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1.45</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59</w:t>
            </w:r>
          </w:p>
        </w:tc>
        <w:tc>
          <w:tcPr>
            <w:tcW w:w="5147" w:type="dxa"/>
            <w:shd w:val="clear" w:color="000000" w:fill="FFFFFF"/>
            <w:tcMar>
              <w:top w:w="15" w:type="dxa"/>
              <w:left w:w="15" w:type="dxa"/>
              <w:bottom w:w="0" w:type="dxa"/>
              <w:right w:w="15" w:type="dxa"/>
            </w:tcMar>
            <w:vAlign w:val="center"/>
            <w:hideMark/>
          </w:tcPr>
          <w:p w:rsidR="00003BD9"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Исключение работодателей от права на ведение коллективных переговоров</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4.15</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0.77</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4.29</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0.47</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1.82</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60</w:t>
            </w:r>
          </w:p>
        </w:tc>
        <w:tc>
          <w:tcPr>
            <w:tcW w:w="5147" w:type="dxa"/>
            <w:shd w:val="clear" w:color="000000" w:fill="FFFFFF"/>
            <w:tcMar>
              <w:top w:w="15" w:type="dxa"/>
              <w:left w:w="15" w:type="dxa"/>
              <w:bottom w:w="0" w:type="dxa"/>
              <w:right w:w="15" w:type="dxa"/>
            </w:tcMar>
            <w:vAlign w:val="center"/>
            <w:hideMark/>
          </w:tcPr>
          <w:p w:rsidR="00003BD9"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Исключение/ограничение предметов, охватываемых коллективными переговорами</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3.46</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0.85</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3.71</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0.61</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1.68</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61</w:t>
            </w:r>
          </w:p>
        </w:tc>
        <w:tc>
          <w:tcPr>
            <w:tcW w:w="5147" w:type="dxa"/>
            <w:shd w:val="clear" w:color="000000" w:fill="FFFFFF"/>
            <w:tcMar>
              <w:top w:w="15" w:type="dxa"/>
              <w:left w:w="15" w:type="dxa"/>
              <w:bottom w:w="0" w:type="dxa"/>
              <w:right w:w="15" w:type="dxa"/>
            </w:tcMar>
            <w:vAlign w:val="center"/>
            <w:hideMark/>
          </w:tcPr>
          <w:p w:rsidR="00003BD9"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Обязательный арбитраж, предоставляемый на ведение коллективных переговоров</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3.62</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0.93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3.79</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0.58</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1.70</w:t>
            </w:r>
          </w:p>
        </w:tc>
      </w:tr>
      <w:tr w:rsidR="00003BD9" w:rsidRPr="00852214" w:rsidTr="00D51602">
        <w:trPr>
          <w:trHeight w:val="510"/>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62</w:t>
            </w:r>
          </w:p>
        </w:tc>
        <w:tc>
          <w:tcPr>
            <w:tcW w:w="5147" w:type="dxa"/>
            <w:shd w:val="clear" w:color="000000" w:fill="FFFFFF"/>
            <w:tcMar>
              <w:top w:w="15" w:type="dxa"/>
              <w:left w:w="15" w:type="dxa"/>
              <w:bottom w:w="0" w:type="dxa"/>
              <w:right w:w="15" w:type="dxa"/>
            </w:tcMar>
            <w:vAlign w:val="center"/>
            <w:hideMark/>
          </w:tcPr>
          <w:p w:rsidR="00003BD9"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Чрезмерные требования и/или отсутствие объективных, заранее установленных и точных критериев для определения/признания организаций работодателей, имеющих право на ведение коллективных переговоров</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3.23</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0.99</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3.36</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0.74</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1.59</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63</w:t>
            </w:r>
          </w:p>
        </w:tc>
        <w:tc>
          <w:tcPr>
            <w:tcW w:w="5147" w:type="dxa"/>
            <w:shd w:val="clear" w:color="000000" w:fill="FFFFFF"/>
            <w:tcMar>
              <w:top w:w="15" w:type="dxa"/>
              <w:left w:w="15" w:type="dxa"/>
              <w:bottom w:w="0" w:type="dxa"/>
              <w:right w:w="15" w:type="dxa"/>
            </w:tcMar>
            <w:vAlign w:val="center"/>
            <w:hideMark/>
          </w:tcPr>
          <w:p w:rsidR="00003BD9"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Акты вмешательства в коллективные переговоры</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3.62</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1.08</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3.64</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0.93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1.66</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64</w:t>
            </w:r>
          </w:p>
        </w:tc>
        <w:tc>
          <w:tcPr>
            <w:tcW w:w="5147" w:type="dxa"/>
            <w:shd w:val="clear" w:color="000000" w:fill="FFFFFF"/>
            <w:tcMar>
              <w:top w:w="15" w:type="dxa"/>
              <w:left w:w="15" w:type="dxa"/>
              <w:bottom w:w="0" w:type="dxa"/>
              <w:right w:w="15" w:type="dxa"/>
            </w:tcMar>
            <w:vAlign w:val="center"/>
            <w:hideMark/>
          </w:tcPr>
          <w:p w:rsidR="00003BD9"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Нарушения коллективных договоров</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3.68</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1.16</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3.57</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0.85</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1.64</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65</w:t>
            </w:r>
          </w:p>
        </w:tc>
        <w:tc>
          <w:tcPr>
            <w:tcW w:w="5147" w:type="dxa"/>
            <w:shd w:val="clear" w:color="000000" w:fill="FFFFFF"/>
            <w:tcMar>
              <w:top w:w="15" w:type="dxa"/>
              <w:left w:w="15" w:type="dxa"/>
              <w:bottom w:w="0" w:type="dxa"/>
              <w:right w:w="15" w:type="dxa"/>
            </w:tcMar>
            <w:vAlign w:val="center"/>
            <w:hideMark/>
          </w:tcPr>
          <w:p w:rsidR="00003BD9"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Нарушения консультации с организациями работодателей</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3.46</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1.02</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3.43</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0.94</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1.61</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lastRenderedPageBreak/>
              <w:t>66</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Отсутствие гарантии надлежащего судебного разбирательства и/или нарушения справедливости </w:t>
            </w:r>
            <w:proofErr w:type="spellStart"/>
            <w:r w:rsidRPr="00852214">
              <w:rPr>
                <w:rFonts w:ascii="Times New Roman" w:hAnsi="Times New Roman" w:cs="Times New Roman"/>
                <w:sz w:val="24"/>
                <w:szCs w:val="24"/>
                <w:lang w:val="en-US"/>
              </w:rPr>
              <w:t>nos</w:t>
            </w:r>
            <w:proofErr w:type="spellEnd"/>
            <w:r w:rsidRPr="00852214">
              <w:rPr>
                <w:rFonts w:ascii="Times New Roman" w:hAnsi="Times New Roman" w:cs="Times New Roman"/>
                <w:sz w:val="24"/>
                <w:szCs w:val="24"/>
              </w:rPr>
              <w:t>. 57-65</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3.54</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1.45</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3.93</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0.92</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1.73</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proofErr w:type="spellStart"/>
            <w:r w:rsidRPr="00852214">
              <w:rPr>
                <w:rFonts w:ascii="Times New Roman" w:hAnsi="Times New Roman" w:cs="Times New Roman"/>
                <w:b/>
                <w:bCs/>
                <w:sz w:val="24"/>
                <w:szCs w:val="24"/>
                <w:lang w:val="en-US"/>
              </w:rPr>
              <w:t>IVb</w:t>
            </w:r>
            <w:proofErr w:type="spellEnd"/>
            <w:r w:rsidRPr="00852214">
              <w:rPr>
                <w:rFonts w:ascii="Times New Roman" w:hAnsi="Times New Roman" w:cs="Times New Roman"/>
                <w:b/>
                <w:bCs/>
                <w:sz w:val="24"/>
                <w:szCs w:val="24"/>
              </w:rPr>
              <w:t xml:space="preserve">. </w:t>
            </w:r>
            <w:r w:rsidR="0094088F" w:rsidRPr="00852214">
              <w:rPr>
                <w:rFonts w:ascii="Times New Roman" w:hAnsi="Times New Roman" w:cs="Times New Roman"/>
                <w:b/>
                <w:bCs/>
                <w:sz w:val="24"/>
                <w:szCs w:val="24"/>
              </w:rPr>
              <w:t>Право на коллективные переговоры на практике</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b/>
                <w:bCs/>
                <w:sz w:val="24"/>
                <w:szCs w:val="24"/>
              </w:rPr>
            </w:pPr>
            <w:r w:rsidRPr="00852214">
              <w:rPr>
                <w:rFonts w:ascii="Times New Roman" w:hAnsi="Times New Roman" w:cs="Times New Roman"/>
                <w:b/>
                <w:bCs/>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lang w:val="en-US"/>
              </w:rPr>
              <w:t> </w:t>
            </w:r>
          </w:p>
        </w:tc>
      </w:tr>
      <w:tr w:rsidR="0094088F" w:rsidRPr="00852214" w:rsidTr="00D51602">
        <w:trPr>
          <w:trHeight w:val="255"/>
        </w:trPr>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67</w:t>
            </w:r>
          </w:p>
        </w:tc>
        <w:tc>
          <w:tcPr>
            <w:tcW w:w="5147" w:type="dxa"/>
            <w:shd w:val="clear" w:color="000000" w:fill="FFFFFF"/>
            <w:tcMar>
              <w:top w:w="15" w:type="dxa"/>
              <w:left w:w="15" w:type="dxa"/>
              <w:bottom w:w="0" w:type="dxa"/>
              <w:right w:w="15" w:type="dxa"/>
            </w:tcMar>
            <w:vAlign w:val="cente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Общий запрет </w:t>
            </w:r>
            <w:proofErr w:type="gramStart"/>
            <w:r w:rsidRPr="00852214">
              <w:rPr>
                <w:rFonts w:ascii="Times New Roman" w:hAnsi="Times New Roman" w:cs="Times New Roman"/>
                <w:sz w:val="24"/>
                <w:szCs w:val="24"/>
              </w:rPr>
              <w:t>на право на</w:t>
            </w:r>
            <w:proofErr w:type="gramEnd"/>
            <w:r w:rsidRPr="00852214">
              <w:rPr>
                <w:rFonts w:ascii="Times New Roman" w:hAnsi="Times New Roman" w:cs="Times New Roman"/>
                <w:sz w:val="24"/>
                <w:szCs w:val="24"/>
              </w:rPr>
              <w:t xml:space="preserve"> ведение коллективных переговоров</w:t>
            </w:r>
          </w:p>
        </w:tc>
        <w:tc>
          <w:tcPr>
            <w:tcW w:w="83" w:type="dxa"/>
            <w:shd w:val="clear" w:color="000000" w:fill="FFFFFF"/>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4.54</w:t>
            </w:r>
          </w:p>
        </w:tc>
        <w:tc>
          <w:tcPr>
            <w:tcW w:w="1035"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0.65</w:t>
            </w:r>
          </w:p>
        </w:tc>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4.57</w:t>
            </w:r>
          </w:p>
        </w:tc>
        <w:tc>
          <w:tcPr>
            <w:tcW w:w="1217"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0.51</w:t>
            </w:r>
          </w:p>
        </w:tc>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1.89</w:t>
            </w:r>
          </w:p>
        </w:tc>
      </w:tr>
      <w:tr w:rsidR="0094088F" w:rsidRPr="00852214" w:rsidTr="00D51602">
        <w:trPr>
          <w:trHeight w:val="255"/>
        </w:trPr>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68</w:t>
            </w:r>
          </w:p>
        </w:tc>
        <w:tc>
          <w:tcPr>
            <w:tcW w:w="5147" w:type="dxa"/>
            <w:shd w:val="clear" w:color="000000" w:fill="FFFFFF"/>
            <w:tcMar>
              <w:top w:w="15" w:type="dxa"/>
              <w:left w:w="15" w:type="dxa"/>
              <w:bottom w:w="0" w:type="dxa"/>
              <w:right w:w="15" w:type="dxa"/>
            </w:tcMar>
            <w:vAlign w:val="cente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lang w:val="en-US"/>
              </w:rPr>
            </w:pPr>
            <w:proofErr w:type="spellStart"/>
            <w:r w:rsidRPr="00852214">
              <w:rPr>
                <w:rFonts w:ascii="Times New Roman" w:hAnsi="Times New Roman" w:cs="Times New Roman"/>
                <w:sz w:val="24"/>
                <w:szCs w:val="24"/>
                <w:lang w:val="en-US"/>
              </w:rPr>
              <w:t>Недостаточное</w:t>
            </w:r>
            <w:proofErr w:type="spellEnd"/>
            <w:r w:rsidRPr="00852214">
              <w:rPr>
                <w:rFonts w:ascii="Times New Roman" w:hAnsi="Times New Roman" w:cs="Times New Roman"/>
                <w:sz w:val="24"/>
                <w:szCs w:val="24"/>
                <w:lang w:val="en-US"/>
              </w:rPr>
              <w:t xml:space="preserve"> </w:t>
            </w:r>
            <w:proofErr w:type="spellStart"/>
            <w:r w:rsidRPr="00852214">
              <w:rPr>
                <w:rFonts w:ascii="Times New Roman" w:hAnsi="Times New Roman" w:cs="Times New Roman"/>
                <w:sz w:val="24"/>
                <w:szCs w:val="24"/>
                <w:lang w:val="en-US"/>
              </w:rPr>
              <w:t>продвижение</w:t>
            </w:r>
            <w:proofErr w:type="spellEnd"/>
            <w:r w:rsidRPr="00852214">
              <w:rPr>
                <w:rFonts w:ascii="Times New Roman" w:hAnsi="Times New Roman" w:cs="Times New Roman"/>
                <w:sz w:val="24"/>
                <w:szCs w:val="24"/>
                <w:lang w:val="en-US"/>
              </w:rPr>
              <w:t xml:space="preserve"> </w:t>
            </w:r>
            <w:proofErr w:type="spellStart"/>
            <w:r w:rsidRPr="00852214">
              <w:rPr>
                <w:rFonts w:ascii="Times New Roman" w:hAnsi="Times New Roman" w:cs="Times New Roman"/>
                <w:sz w:val="24"/>
                <w:szCs w:val="24"/>
                <w:lang w:val="en-US"/>
              </w:rPr>
              <w:t>коллективных</w:t>
            </w:r>
            <w:proofErr w:type="spellEnd"/>
            <w:r w:rsidRPr="00852214">
              <w:rPr>
                <w:rFonts w:ascii="Times New Roman" w:hAnsi="Times New Roman" w:cs="Times New Roman"/>
                <w:sz w:val="24"/>
                <w:szCs w:val="24"/>
                <w:lang w:val="en-US"/>
              </w:rPr>
              <w:t xml:space="preserve"> </w:t>
            </w:r>
            <w:proofErr w:type="spellStart"/>
            <w:r w:rsidRPr="00852214">
              <w:rPr>
                <w:rFonts w:ascii="Times New Roman" w:hAnsi="Times New Roman" w:cs="Times New Roman"/>
                <w:sz w:val="24"/>
                <w:szCs w:val="24"/>
                <w:lang w:val="en-US"/>
              </w:rPr>
              <w:t>переговоров</w:t>
            </w:r>
            <w:proofErr w:type="spellEnd"/>
          </w:p>
        </w:tc>
        <w:tc>
          <w:tcPr>
            <w:tcW w:w="83" w:type="dxa"/>
            <w:shd w:val="clear" w:color="000000" w:fill="FFFFFF"/>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lang w:val="en-US"/>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2.92</w:t>
            </w:r>
          </w:p>
        </w:tc>
        <w:tc>
          <w:tcPr>
            <w:tcW w:w="1035"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0.83</w:t>
            </w:r>
          </w:p>
        </w:tc>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2.79</w:t>
            </w:r>
          </w:p>
        </w:tc>
        <w:tc>
          <w:tcPr>
            <w:tcW w:w="1217"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0.70</w:t>
            </w:r>
          </w:p>
        </w:tc>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1.45</w:t>
            </w:r>
          </w:p>
        </w:tc>
      </w:tr>
      <w:tr w:rsidR="0094088F" w:rsidRPr="00852214" w:rsidTr="00D51602">
        <w:trPr>
          <w:trHeight w:val="255"/>
        </w:trPr>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69</w:t>
            </w:r>
          </w:p>
        </w:tc>
        <w:tc>
          <w:tcPr>
            <w:tcW w:w="5147" w:type="dxa"/>
            <w:shd w:val="clear" w:color="000000" w:fill="FFFFFF"/>
            <w:tcMar>
              <w:top w:w="15" w:type="dxa"/>
              <w:left w:w="15" w:type="dxa"/>
              <w:bottom w:w="0" w:type="dxa"/>
              <w:right w:w="15" w:type="dxa"/>
            </w:tcMar>
            <w:vAlign w:val="cente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Исключение работодателей от права на ведение коллективных переговоров</w:t>
            </w:r>
          </w:p>
        </w:tc>
        <w:tc>
          <w:tcPr>
            <w:tcW w:w="83" w:type="dxa"/>
            <w:shd w:val="clear" w:color="000000" w:fill="FFFFFF"/>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4.08</w:t>
            </w:r>
          </w:p>
        </w:tc>
        <w:tc>
          <w:tcPr>
            <w:tcW w:w="1035"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0.66</w:t>
            </w:r>
          </w:p>
        </w:tc>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4.36</w:t>
            </w:r>
          </w:p>
        </w:tc>
        <w:tc>
          <w:tcPr>
            <w:tcW w:w="1217"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0.50</w:t>
            </w:r>
          </w:p>
        </w:tc>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1.84</w:t>
            </w:r>
          </w:p>
        </w:tc>
      </w:tr>
      <w:tr w:rsidR="0094088F" w:rsidRPr="00852214" w:rsidTr="00D51602">
        <w:trPr>
          <w:trHeight w:val="255"/>
        </w:trPr>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70</w:t>
            </w:r>
          </w:p>
        </w:tc>
        <w:tc>
          <w:tcPr>
            <w:tcW w:w="5147" w:type="dxa"/>
            <w:shd w:val="clear" w:color="000000" w:fill="FFFFFF"/>
            <w:tcMar>
              <w:top w:w="15" w:type="dxa"/>
              <w:left w:w="15" w:type="dxa"/>
              <w:bottom w:w="0" w:type="dxa"/>
              <w:right w:w="15" w:type="dxa"/>
            </w:tcMar>
            <w:vAlign w:val="cente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Исключение/ограничение предметов, охватываемых коллективными переговорами</w:t>
            </w:r>
          </w:p>
        </w:tc>
        <w:tc>
          <w:tcPr>
            <w:tcW w:w="83" w:type="dxa"/>
            <w:shd w:val="clear" w:color="000000" w:fill="FFFFFF"/>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3.38</w:t>
            </w:r>
          </w:p>
        </w:tc>
        <w:tc>
          <w:tcPr>
            <w:tcW w:w="1035"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0.50</w:t>
            </w:r>
          </w:p>
        </w:tc>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3.36</w:t>
            </w:r>
          </w:p>
        </w:tc>
        <w:tc>
          <w:tcPr>
            <w:tcW w:w="1217"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0.50</w:t>
            </w:r>
          </w:p>
        </w:tc>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1.59</w:t>
            </w:r>
          </w:p>
        </w:tc>
      </w:tr>
      <w:tr w:rsidR="0094088F" w:rsidRPr="00852214" w:rsidTr="00D51602">
        <w:trPr>
          <w:trHeight w:val="255"/>
        </w:trPr>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71</w:t>
            </w:r>
          </w:p>
        </w:tc>
        <w:tc>
          <w:tcPr>
            <w:tcW w:w="5147" w:type="dxa"/>
            <w:shd w:val="clear" w:color="000000" w:fill="FFFFFF"/>
            <w:tcMar>
              <w:top w:w="15" w:type="dxa"/>
              <w:left w:w="15" w:type="dxa"/>
              <w:bottom w:w="0" w:type="dxa"/>
              <w:right w:w="15" w:type="dxa"/>
            </w:tcMar>
            <w:vAlign w:val="cente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Обязательный арбитраж, предоставляемый на ведение коллективных переговоров</w:t>
            </w:r>
          </w:p>
        </w:tc>
        <w:tc>
          <w:tcPr>
            <w:tcW w:w="83" w:type="dxa"/>
            <w:shd w:val="clear" w:color="000000" w:fill="FFFFFF"/>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3.69</w:t>
            </w:r>
          </w:p>
        </w:tc>
        <w:tc>
          <w:tcPr>
            <w:tcW w:w="1035"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0.93</w:t>
            </w:r>
          </w:p>
        </w:tc>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3.71</w:t>
            </w:r>
          </w:p>
        </w:tc>
        <w:tc>
          <w:tcPr>
            <w:tcW w:w="1217"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0.47</w:t>
            </w:r>
          </w:p>
        </w:tc>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1.68</w:t>
            </w:r>
          </w:p>
        </w:tc>
      </w:tr>
      <w:tr w:rsidR="0094088F" w:rsidRPr="00852214" w:rsidTr="00D51602">
        <w:trPr>
          <w:trHeight w:val="510"/>
        </w:trPr>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72</w:t>
            </w:r>
          </w:p>
        </w:tc>
        <w:tc>
          <w:tcPr>
            <w:tcW w:w="5147" w:type="dxa"/>
            <w:shd w:val="clear" w:color="000000" w:fill="FFFFFF"/>
            <w:tcMar>
              <w:top w:w="15" w:type="dxa"/>
              <w:left w:w="15" w:type="dxa"/>
              <w:bottom w:w="0" w:type="dxa"/>
              <w:right w:w="15" w:type="dxa"/>
            </w:tcMar>
            <w:vAlign w:val="cente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Чрезмерные требования и/или отсутствие объективных, заранее установленных и точных критериев для определения/признания организаций работодателей, имеющих право на ведение коллективных переговоров</w:t>
            </w:r>
          </w:p>
        </w:tc>
        <w:tc>
          <w:tcPr>
            <w:tcW w:w="83" w:type="dxa"/>
            <w:shd w:val="clear" w:color="000000" w:fill="FFFFFF"/>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3.62</w:t>
            </w:r>
          </w:p>
        </w:tc>
        <w:tc>
          <w:tcPr>
            <w:tcW w:w="1035"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0.84</w:t>
            </w:r>
          </w:p>
        </w:tc>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3.57</w:t>
            </w:r>
          </w:p>
        </w:tc>
        <w:tc>
          <w:tcPr>
            <w:tcW w:w="1217"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0.76</w:t>
            </w:r>
          </w:p>
        </w:tc>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1.64</w:t>
            </w:r>
          </w:p>
        </w:tc>
      </w:tr>
      <w:tr w:rsidR="0094088F" w:rsidRPr="00852214" w:rsidTr="00D51602">
        <w:trPr>
          <w:trHeight w:val="255"/>
        </w:trPr>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73</w:t>
            </w:r>
          </w:p>
        </w:tc>
        <w:tc>
          <w:tcPr>
            <w:tcW w:w="5147" w:type="dxa"/>
            <w:shd w:val="clear" w:color="000000" w:fill="FFFFFF"/>
            <w:tcMar>
              <w:top w:w="15" w:type="dxa"/>
              <w:left w:w="15" w:type="dxa"/>
              <w:bottom w:w="0" w:type="dxa"/>
              <w:right w:w="15" w:type="dxa"/>
            </w:tcMar>
            <w:vAlign w:val="cente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Акты вмешательства в коллективные переговоры</w:t>
            </w:r>
          </w:p>
        </w:tc>
        <w:tc>
          <w:tcPr>
            <w:tcW w:w="83" w:type="dxa"/>
            <w:shd w:val="clear" w:color="000000" w:fill="FFFFFF"/>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3.77</w:t>
            </w:r>
          </w:p>
        </w:tc>
        <w:tc>
          <w:tcPr>
            <w:tcW w:w="1035"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0.97</w:t>
            </w:r>
          </w:p>
        </w:tc>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3.57</w:t>
            </w:r>
          </w:p>
        </w:tc>
        <w:tc>
          <w:tcPr>
            <w:tcW w:w="1217"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0.85</w:t>
            </w:r>
          </w:p>
        </w:tc>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1.64</w:t>
            </w:r>
          </w:p>
        </w:tc>
      </w:tr>
      <w:tr w:rsidR="0094088F" w:rsidRPr="00852214" w:rsidTr="00D51602">
        <w:trPr>
          <w:trHeight w:val="255"/>
        </w:trPr>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74</w:t>
            </w:r>
          </w:p>
        </w:tc>
        <w:tc>
          <w:tcPr>
            <w:tcW w:w="5147" w:type="dxa"/>
            <w:shd w:val="clear" w:color="000000" w:fill="FFFFFF"/>
            <w:tcMar>
              <w:top w:w="15" w:type="dxa"/>
              <w:left w:w="15" w:type="dxa"/>
              <w:bottom w:w="0" w:type="dxa"/>
              <w:right w:w="15" w:type="dxa"/>
            </w:tcMar>
            <w:vAlign w:val="cente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Нарушения коллективных договоров</w:t>
            </w:r>
          </w:p>
        </w:tc>
        <w:tc>
          <w:tcPr>
            <w:tcW w:w="83" w:type="dxa"/>
            <w:shd w:val="clear" w:color="000000" w:fill="FFFFFF"/>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w:t>
            </w:r>
          </w:p>
        </w:tc>
        <w:tc>
          <w:tcPr>
            <w:tcW w:w="1019"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4.07</w:t>
            </w:r>
          </w:p>
        </w:tc>
        <w:tc>
          <w:tcPr>
            <w:tcW w:w="1035"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0.88</w:t>
            </w:r>
          </w:p>
        </w:tc>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3.93</w:t>
            </w:r>
          </w:p>
        </w:tc>
        <w:tc>
          <w:tcPr>
            <w:tcW w:w="1217"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0.73</w:t>
            </w:r>
          </w:p>
        </w:tc>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1.73</w:t>
            </w:r>
          </w:p>
        </w:tc>
      </w:tr>
      <w:tr w:rsidR="0094088F" w:rsidRPr="00852214" w:rsidTr="00D51602">
        <w:trPr>
          <w:trHeight w:val="255"/>
        </w:trPr>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75</w:t>
            </w:r>
          </w:p>
        </w:tc>
        <w:tc>
          <w:tcPr>
            <w:tcW w:w="5147" w:type="dxa"/>
            <w:shd w:val="clear" w:color="000000" w:fill="FFFFFF"/>
            <w:tcMar>
              <w:top w:w="15" w:type="dxa"/>
              <w:left w:w="15" w:type="dxa"/>
              <w:bottom w:w="0" w:type="dxa"/>
              <w:right w:w="15" w:type="dxa"/>
            </w:tcMar>
            <w:vAlign w:val="cente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Нарушения консультации с организациями работодателей</w:t>
            </w:r>
          </w:p>
        </w:tc>
        <w:tc>
          <w:tcPr>
            <w:tcW w:w="83" w:type="dxa"/>
            <w:shd w:val="clear" w:color="000000" w:fill="FFFFFF"/>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3.54</w:t>
            </w:r>
          </w:p>
        </w:tc>
        <w:tc>
          <w:tcPr>
            <w:tcW w:w="1035"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0.85</w:t>
            </w:r>
          </w:p>
        </w:tc>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3.36</w:t>
            </w:r>
          </w:p>
        </w:tc>
        <w:tc>
          <w:tcPr>
            <w:tcW w:w="1217"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0.84</w:t>
            </w:r>
          </w:p>
        </w:tc>
        <w:tc>
          <w:tcPr>
            <w:tcW w:w="0" w:type="auto"/>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94088F" w:rsidRPr="00852214" w:rsidRDefault="0094088F"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1.59</w:t>
            </w:r>
          </w:p>
        </w:tc>
      </w:tr>
      <w:tr w:rsidR="00003BD9" w:rsidRPr="00852214" w:rsidTr="00D51602">
        <w:trPr>
          <w:trHeight w:val="255"/>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76</w:t>
            </w:r>
          </w:p>
        </w:tc>
        <w:tc>
          <w:tcPr>
            <w:tcW w:w="5147" w:type="dxa"/>
            <w:shd w:val="clear" w:color="000000" w:fill="FFFFFF"/>
            <w:tcMar>
              <w:top w:w="15" w:type="dxa"/>
              <w:left w:w="15" w:type="dxa"/>
              <w:bottom w:w="0" w:type="dxa"/>
              <w:right w:w="15" w:type="dxa"/>
            </w:tcMar>
            <w:vAlign w:val="cente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xml:space="preserve">Отсутствие гарантии надлежащего судебного разбирательства и/или нарушения справедливости </w:t>
            </w:r>
            <w:proofErr w:type="spellStart"/>
            <w:r w:rsidRPr="00852214">
              <w:rPr>
                <w:rFonts w:ascii="Times New Roman" w:hAnsi="Times New Roman" w:cs="Times New Roman"/>
                <w:sz w:val="24"/>
                <w:szCs w:val="24"/>
                <w:lang w:val="en-US"/>
              </w:rPr>
              <w:t>nos</w:t>
            </w:r>
            <w:proofErr w:type="spellEnd"/>
            <w:r w:rsidRPr="00852214">
              <w:rPr>
                <w:rFonts w:ascii="Times New Roman" w:hAnsi="Times New Roman" w:cs="Times New Roman"/>
                <w:sz w:val="24"/>
                <w:szCs w:val="24"/>
              </w:rPr>
              <w:t>. 67-75</w:t>
            </w:r>
          </w:p>
        </w:tc>
        <w:tc>
          <w:tcPr>
            <w:tcW w:w="83" w:type="dxa"/>
            <w:shd w:val="clear" w:color="000000" w:fill="FFFFFF"/>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lang w:val="en-US"/>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3.85</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1.23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3.86</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0.86</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1.71</w:t>
            </w:r>
          </w:p>
        </w:tc>
      </w:tr>
      <w:tr w:rsidR="00003BD9" w:rsidRPr="00852214" w:rsidTr="00D51602">
        <w:trPr>
          <w:trHeight w:val="300"/>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w:t>
            </w:r>
          </w:p>
        </w:tc>
        <w:tc>
          <w:tcPr>
            <w:tcW w:w="514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r>
      <w:tr w:rsidR="00003BD9" w:rsidRPr="00852214" w:rsidTr="00D51602">
        <w:trPr>
          <w:trHeight w:val="300"/>
        </w:trPr>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sz w:val="24"/>
                <w:szCs w:val="24"/>
              </w:rPr>
            </w:pPr>
            <w:r w:rsidRPr="00852214">
              <w:rPr>
                <w:rFonts w:ascii="Times New Roman" w:hAnsi="Times New Roman" w:cs="Times New Roman"/>
                <w:sz w:val="24"/>
                <w:szCs w:val="24"/>
              </w:rPr>
              <w:t> </w:t>
            </w:r>
          </w:p>
        </w:tc>
        <w:tc>
          <w:tcPr>
            <w:tcW w:w="5147" w:type="dxa"/>
            <w:shd w:val="clear" w:color="000000" w:fill="FFFFFF"/>
            <w:noWrap/>
            <w:tcMar>
              <w:top w:w="15" w:type="dxa"/>
              <w:left w:w="15" w:type="dxa"/>
              <w:bottom w:w="0" w:type="dxa"/>
              <w:right w:w="15" w:type="dxa"/>
            </w:tcMar>
            <w:hideMark/>
          </w:tcPr>
          <w:p w:rsidR="00003BD9" w:rsidRPr="00852214" w:rsidRDefault="0094088F" w:rsidP="00852214">
            <w:pPr>
              <w:spacing w:before="100" w:beforeAutospacing="1" w:after="100" w:afterAutospacing="1" w:line="276" w:lineRule="auto"/>
              <w:jc w:val="both"/>
              <w:rPr>
                <w:rFonts w:ascii="Times New Roman" w:hAnsi="Times New Roman" w:cs="Times New Roman"/>
                <w:b/>
                <w:bCs/>
                <w:sz w:val="24"/>
                <w:szCs w:val="24"/>
              </w:rPr>
            </w:pPr>
            <w:r w:rsidRPr="00852214">
              <w:rPr>
                <w:rFonts w:ascii="Times New Roman" w:hAnsi="Times New Roman" w:cs="Times New Roman"/>
                <w:b/>
                <w:bCs/>
                <w:sz w:val="24"/>
                <w:szCs w:val="24"/>
              </w:rPr>
              <w:t>Среднее</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1019"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3.95</w:t>
            </w:r>
          </w:p>
        </w:tc>
        <w:tc>
          <w:tcPr>
            <w:tcW w:w="103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0.83</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916"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4.05</w:t>
            </w:r>
          </w:p>
        </w:tc>
        <w:tc>
          <w:tcPr>
            <w:tcW w:w="1217"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0.61</w:t>
            </w:r>
          </w:p>
        </w:tc>
        <w:tc>
          <w:tcPr>
            <w:tcW w:w="0" w:type="auto"/>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 </w:t>
            </w:r>
          </w:p>
        </w:tc>
        <w:tc>
          <w:tcPr>
            <w:tcW w:w="765" w:type="dxa"/>
            <w:shd w:val="clear" w:color="000000" w:fill="FFFFFF"/>
            <w:noWrap/>
            <w:tcMar>
              <w:top w:w="15" w:type="dxa"/>
              <w:left w:w="15" w:type="dxa"/>
              <w:bottom w:w="0" w:type="dxa"/>
              <w:right w:w="15" w:type="dxa"/>
            </w:tcMar>
            <w:hideMark/>
          </w:tcPr>
          <w:p w:rsidR="00003BD9" w:rsidRPr="00852214" w:rsidRDefault="00003BD9" w:rsidP="00852214">
            <w:pPr>
              <w:spacing w:before="100" w:beforeAutospacing="1" w:after="100" w:afterAutospacing="1" w:line="276" w:lineRule="auto"/>
              <w:jc w:val="both"/>
              <w:rPr>
                <w:rFonts w:ascii="Times New Roman" w:hAnsi="Times New Roman" w:cs="Times New Roman"/>
                <w:color w:val="000000"/>
                <w:sz w:val="24"/>
                <w:szCs w:val="24"/>
              </w:rPr>
            </w:pPr>
            <w:r w:rsidRPr="00852214">
              <w:rPr>
                <w:rFonts w:ascii="Times New Roman" w:hAnsi="Times New Roman" w:cs="Times New Roman"/>
                <w:color w:val="000000"/>
                <w:sz w:val="24"/>
                <w:szCs w:val="24"/>
              </w:rPr>
              <w:t>1.76</w:t>
            </w:r>
          </w:p>
        </w:tc>
      </w:tr>
    </w:tbl>
    <w:p w:rsidR="00D51602" w:rsidRPr="00852214" w:rsidRDefault="00D51602"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p>
    <w:p w:rsidR="00DF4E50" w:rsidRPr="00852214" w:rsidRDefault="00DF4E50"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Грубое удвоение критериев оценки путем разделения их на нарушения в законодательстве и на практике делает их значительное количество более приемлемым для кодировщиков. Такие ответные отношения между критериями оценки распространяются на два дополнительных типа критериев оценки: «Отсутствие гарантии надлежащего процесса и/или справедливости» и «Нарушения, допущенные в отношении должностных лиц профсоюзов» и «Нарушения, совершенные в отношении должностных лиц организаций работодателей».</w:t>
      </w:r>
    </w:p>
    <w:p w:rsidR="00DF4E50" w:rsidRPr="00852214" w:rsidRDefault="00DF4E50"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Критерии оценки «Отсутствие гарантии надлежащего процесса и/или правосудия» включены в основные категории критериев оценки в качестве критериев оценки, перечисленных в каждом из списк</w:t>
      </w:r>
      <w:r w:rsidR="006A6FC8" w:rsidRPr="00852214">
        <w:rPr>
          <w:rFonts w:ascii="Times New Roman" w:eastAsia="Times New Roman" w:hAnsi="Times New Roman" w:cs="Times New Roman"/>
          <w:sz w:val="24"/>
          <w:szCs w:val="24"/>
          <w:lang w:eastAsia="ru-RU"/>
        </w:rPr>
        <w:t>ов</w:t>
      </w:r>
      <w:r w:rsidRPr="00852214">
        <w:rPr>
          <w:rFonts w:ascii="Times New Roman" w:eastAsia="Times New Roman" w:hAnsi="Times New Roman" w:cs="Times New Roman"/>
          <w:sz w:val="24"/>
          <w:szCs w:val="24"/>
          <w:lang w:eastAsia="ru-RU"/>
        </w:rPr>
        <w:t xml:space="preserve">, за исключением категории «Основополагающие гражданские свободы на практике». Это основано на предпосылке, что осуществление </w:t>
      </w:r>
      <w:r w:rsidRPr="00852214">
        <w:rPr>
          <w:rFonts w:ascii="Times New Roman" w:eastAsia="Times New Roman" w:hAnsi="Times New Roman" w:cs="Times New Roman"/>
          <w:sz w:val="24"/>
          <w:szCs w:val="24"/>
          <w:lang w:eastAsia="ru-RU"/>
        </w:rPr>
        <w:lastRenderedPageBreak/>
        <w:t xml:space="preserve">прав FACB зависит от их эффективной защиты, определенной с точки зрения справедливых и достаточно быстрых судебных разбирательств независимой и беспристрастной судебной системой. С другой стороны, согласно категории «Основополагающие гражданские свободы на практике» эти критерии оценки прилагаются к каждому из шести более конкретных критериев оценки. </w:t>
      </w:r>
      <w:proofErr w:type="gramStart"/>
      <w:r w:rsidRPr="00852214">
        <w:rPr>
          <w:rFonts w:ascii="Times New Roman" w:eastAsia="Times New Roman" w:hAnsi="Times New Roman" w:cs="Times New Roman"/>
          <w:sz w:val="24"/>
          <w:szCs w:val="24"/>
          <w:lang w:eastAsia="ru-RU"/>
        </w:rPr>
        <w:t>Этот акцент на основополагающих гражданских свободах на практике призван отражать акцент Комитета экспертов по применению конвенций и рекомендаций (CEACR) и Комитета по свободе ассоциации (CFA), в частности их мнение о том, что свободное и независимое движение работники и работодатели (и их организации) могут развиваться только в той мере, в которой соблюдаются основополагающие права человека и где в случае нарушений принимаются</w:t>
      </w:r>
      <w:proofErr w:type="gramEnd"/>
      <w:r w:rsidRPr="00852214">
        <w:rPr>
          <w:rFonts w:ascii="Times New Roman" w:eastAsia="Times New Roman" w:hAnsi="Times New Roman" w:cs="Times New Roman"/>
          <w:sz w:val="24"/>
          <w:szCs w:val="24"/>
          <w:lang w:eastAsia="ru-RU"/>
        </w:rPr>
        <w:t xml:space="preserve"> меры для выявления, предания суду и осуждения виновных сторон (МОТ, 2006 г., пункты 33 и 51). Кроме того, эти критерии прилагаются к «Антипрофсоюзным дискриминационным мерам» и «Актам вмешательства работодателей и/или государственных органов» и «Актам вмешательства рабочих организаций и/или государственных органов» в категорию «Право на создавать и вступать в организации на практике», мотивированный Статьей 3 Конвенции 98 МОТ, в которой говорится, что« при необходимости, в целях обеспечения соблюдения права на организацию..</w:t>
      </w:r>
      <w:proofErr w:type="gramStart"/>
      <w:r w:rsidRPr="00852214">
        <w:rPr>
          <w:rFonts w:ascii="Times New Roman" w:eastAsia="Times New Roman" w:hAnsi="Times New Roman" w:cs="Times New Roman"/>
          <w:sz w:val="24"/>
          <w:szCs w:val="24"/>
          <w:lang w:eastAsia="ru-RU"/>
        </w:rPr>
        <w:t>.»</w:t>
      </w:r>
      <w:proofErr w:type="gramEnd"/>
      <w:r w:rsidRPr="00852214">
        <w:rPr>
          <w:rFonts w:ascii="Times New Roman" w:eastAsia="Times New Roman" w:hAnsi="Times New Roman" w:cs="Times New Roman"/>
          <w:sz w:val="24"/>
          <w:szCs w:val="24"/>
          <w:lang w:eastAsia="ru-RU"/>
        </w:rPr>
        <w:t xml:space="preserve">должны быть установлены механизмы, </w:t>
      </w:r>
      <w:proofErr w:type="gramStart"/>
      <w:r w:rsidRPr="00852214">
        <w:rPr>
          <w:rFonts w:ascii="Times New Roman" w:eastAsia="Times New Roman" w:hAnsi="Times New Roman" w:cs="Times New Roman"/>
          <w:sz w:val="24"/>
          <w:szCs w:val="24"/>
          <w:lang w:eastAsia="ru-RU"/>
        </w:rPr>
        <w:t>соответствующие</w:t>
      </w:r>
      <w:proofErr w:type="gramEnd"/>
      <w:r w:rsidRPr="00852214">
        <w:rPr>
          <w:rFonts w:ascii="Times New Roman" w:eastAsia="Times New Roman" w:hAnsi="Times New Roman" w:cs="Times New Roman"/>
          <w:sz w:val="24"/>
          <w:szCs w:val="24"/>
          <w:lang w:eastAsia="ru-RU"/>
        </w:rPr>
        <w:t xml:space="preserve"> национальным условиям.</w:t>
      </w:r>
    </w:p>
    <w:p w:rsidR="00DF4E50" w:rsidRPr="00852214" w:rsidRDefault="00DF4E50"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Критерии оценки «Нарушения, совершенные против должностных лиц профсоюзов» и «Нарушения, совершаемые в отношении должностных лиц организаций работодателей», прилагаются к конкретным критериям оценки в категории «Основополагающие гражданские свободы на практике» (случай «чрезмерных запретов/ограничений в событие чрезвычайного положения "здесь не применяется). Кроме того, этот критерий прилагается к «Антипрофсоюзным дискриминационным мерам» в соответствии с категорией «Право работников создавать и вступать в организации на практике», а также «Использовать чрезмерные санкции в случае законных и мирных забастовок» в соответствии с категори</w:t>
      </w:r>
      <w:r w:rsidR="006A6FC8" w:rsidRPr="00852214">
        <w:rPr>
          <w:rFonts w:ascii="Times New Roman" w:eastAsia="Times New Roman" w:hAnsi="Times New Roman" w:cs="Times New Roman"/>
          <w:sz w:val="24"/>
          <w:szCs w:val="24"/>
          <w:lang w:eastAsia="ru-RU"/>
        </w:rPr>
        <w:t>ей</w:t>
      </w:r>
      <w:r w:rsidRPr="00852214">
        <w:rPr>
          <w:rFonts w:ascii="Times New Roman" w:eastAsia="Times New Roman" w:hAnsi="Times New Roman" w:cs="Times New Roman"/>
          <w:sz w:val="24"/>
          <w:szCs w:val="24"/>
          <w:lang w:eastAsia="ru-RU"/>
        </w:rPr>
        <w:t xml:space="preserve"> «Право на забастовку на практике». Упор на должностных лиц мотивирован тем, что нарушения в отношении них особенно наносят ущерб осуществлению прав FACB.</w:t>
      </w:r>
    </w:p>
    <w:p w:rsidR="00DF4E50" w:rsidRPr="00852214" w:rsidRDefault="00DF4E50"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В соответствии с определением для показателя ЦУР 8.8.2, в то время как все нарушения прав </w:t>
      </w:r>
      <w:r w:rsidR="006A6FC8" w:rsidRPr="00852214">
        <w:rPr>
          <w:rFonts w:ascii="Times New Roman" w:eastAsia="Times New Roman" w:hAnsi="Times New Roman" w:cs="Times New Roman"/>
          <w:sz w:val="24"/>
          <w:szCs w:val="24"/>
          <w:lang w:val="en-US" w:eastAsia="ru-RU"/>
        </w:rPr>
        <w:t>FACB</w:t>
      </w:r>
      <w:r w:rsidR="006A6FC8" w:rsidRPr="00852214">
        <w:rPr>
          <w:rFonts w:ascii="Times New Roman" w:eastAsia="Times New Roman" w:hAnsi="Times New Roman" w:cs="Times New Roman"/>
          <w:sz w:val="24"/>
          <w:szCs w:val="24"/>
          <w:lang w:eastAsia="ru-RU"/>
        </w:rPr>
        <w:t xml:space="preserve"> </w:t>
      </w:r>
      <w:r w:rsidRPr="00852214">
        <w:rPr>
          <w:rFonts w:ascii="Times New Roman" w:eastAsia="Times New Roman" w:hAnsi="Times New Roman" w:cs="Times New Roman"/>
          <w:sz w:val="24"/>
          <w:szCs w:val="24"/>
          <w:lang w:eastAsia="ru-RU"/>
        </w:rPr>
        <w:t xml:space="preserve">на основе пола или </w:t>
      </w:r>
      <w:r w:rsidR="006A6FC8" w:rsidRPr="00852214">
        <w:rPr>
          <w:rFonts w:ascii="Times New Roman" w:eastAsia="Times New Roman" w:hAnsi="Times New Roman" w:cs="Times New Roman"/>
          <w:sz w:val="24"/>
          <w:szCs w:val="24"/>
          <w:lang w:eastAsia="ru-RU"/>
        </w:rPr>
        <w:t xml:space="preserve">миграционного </w:t>
      </w:r>
      <w:r w:rsidRPr="00852214">
        <w:rPr>
          <w:rFonts w:ascii="Times New Roman" w:eastAsia="Times New Roman" w:hAnsi="Times New Roman" w:cs="Times New Roman"/>
          <w:sz w:val="24"/>
          <w:szCs w:val="24"/>
          <w:lang w:eastAsia="ru-RU"/>
        </w:rPr>
        <w:t xml:space="preserve">статуса будут закодированы и воплощены в </w:t>
      </w:r>
      <w:r w:rsidR="009D771F" w:rsidRPr="00852214">
        <w:rPr>
          <w:rFonts w:ascii="Times New Roman" w:eastAsia="Times New Roman" w:hAnsi="Times New Roman" w:cs="Times New Roman"/>
          <w:sz w:val="24"/>
          <w:szCs w:val="24"/>
          <w:lang w:eastAsia="ru-RU"/>
        </w:rPr>
        <w:t>показателе</w:t>
      </w:r>
      <w:r w:rsidRPr="00852214">
        <w:rPr>
          <w:rFonts w:ascii="Times New Roman" w:eastAsia="Times New Roman" w:hAnsi="Times New Roman" w:cs="Times New Roman"/>
          <w:sz w:val="24"/>
          <w:szCs w:val="24"/>
          <w:lang w:eastAsia="ru-RU"/>
        </w:rPr>
        <w:t>, текстовая информация, на которой основано это кодирование, также будет доступна в отдельном документе в целях выявления таких нарушений.</w:t>
      </w:r>
    </w:p>
    <w:p w:rsidR="00DF4E50" w:rsidRPr="00852214" w:rsidRDefault="00DF4E50" w:rsidP="00852214">
      <w:pPr>
        <w:spacing w:before="100" w:beforeAutospacing="1" w:after="100" w:afterAutospacing="1" w:line="276" w:lineRule="auto"/>
        <w:jc w:val="both"/>
        <w:rPr>
          <w:rFonts w:ascii="Times New Roman" w:eastAsia="Times New Roman" w:hAnsi="Times New Roman" w:cs="Times New Roman"/>
          <w:b/>
          <w:color w:val="0070C0"/>
          <w:sz w:val="24"/>
          <w:szCs w:val="24"/>
          <w:lang w:eastAsia="ru-RU"/>
        </w:rPr>
      </w:pPr>
      <w:r w:rsidRPr="00852214">
        <w:rPr>
          <w:rFonts w:ascii="Times New Roman" w:eastAsia="Times New Roman" w:hAnsi="Times New Roman" w:cs="Times New Roman"/>
          <w:b/>
          <w:color w:val="0070C0"/>
          <w:sz w:val="24"/>
          <w:szCs w:val="24"/>
          <w:lang w:eastAsia="ru-RU"/>
        </w:rPr>
        <w:t>Текстовые источники</w:t>
      </w:r>
    </w:p>
    <w:p w:rsidR="00DF4E50" w:rsidRPr="00852214" w:rsidRDefault="00DF4E50"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В настоящем методе используются шесть текстовых источников МОТ: Доклады Комитета экспертов по применению конвенций и рекомендаций; Доклады Комитета Конференции по применению стандартов; </w:t>
      </w:r>
      <w:proofErr w:type="spellStart"/>
      <w:r w:rsidR="0034708B" w:rsidRPr="00852214">
        <w:rPr>
          <w:rFonts w:ascii="Times New Roman" w:eastAsia="Times New Roman" w:hAnsi="Times New Roman" w:cs="Times New Roman"/>
          <w:sz w:val="24"/>
          <w:szCs w:val="24"/>
          <w:lang w:eastAsia="ru-RU"/>
        </w:rPr>
        <w:t>Страновые</w:t>
      </w:r>
      <w:proofErr w:type="spellEnd"/>
      <w:r w:rsidR="0034708B" w:rsidRPr="00852214">
        <w:rPr>
          <w:rFonts w:ascii="Times New Roman" w:eastAsia="Times New Roman" w:hAnsi="Times New Roman" w:cs="Times New Roman"/>
          <w:sz w:val="24"/>
          <w:szCs w:val="24"/>
          <w:lang w:eastAsia="ru-RU"/>
        </w:rPr>
        <w:t xml:space="preserve"> базовые показатели в рамках Ежегодного обзора Декларации МОТ</w:t>
      </w:r>
      <w:r w:rsidRPr="00852214">
        <w:rPr>
          <w:rFonts w:ascii="Times New Roman" w:eastAsia="Times New Roman" w:hAnsi="Times New Roman" w:cs="Times New Roman"/>
          <w:sz w:val="24"/>
          <w:szCs w:val="24"/>
          <w:lang w:eastAsia="ru-RU"/>
        </w:rPr>
        <w:t>; Представительства в соответствии со статьей 24 Устава МОТ; Жалобы в соответствии со статьей 26 Устава МОТ и Доклад Комитета по свободе объединения.</w:t>
      </w:r>
    </w:p>
    <w:p w:rsidR="00DF4E50" w:rsidRPr="00852214" w:rsidRDefault="00DF4E50"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Этот метод также кодирует соответствующее национальное законодательство для не ратифицирующих стран. Кодирование национального законодательства особенно важно </w:t>
      </w:r>
      <w:r w:rsidRPr="00852214">
        <w:rPr>
          <w:rFonts w:ascii="Times New Roman" w:eastAsia="Times New Roman" w:hAnsi="Times New Roman" w:cs="Times New Roman"/>
          <w:sz w:val="24"/>
          <w:szCs w:val="24"/>
          <w:lang w:eastAsia="ru-RU"/>
        </w:rPr>
        <w:lastRenderedPageBreak/>
        <w:t xml:space="preserve">для устранения асимметрии информации между ратифицирующими и </w:t>
      </w:r>
      <w:proofErr w:type="spellStart"/>
      <w:r w:rsidRPr="00852214">
        <w:rPr>
          <w:rFonts w:ascii="Times New Roman" w:eastAsia="Times New Roman" w:hAnsi="Times New Roman" w:cs="Times New Roman"/>
          <w:sz w:val="24"/>
          <w:szCs w:val="24"/>
          <w:lang w:eastAsia="ru-RU"/>
        </w:rPr>
        <w:t>нератифицирующими</w:t>
      </w:r>
      <w:proofErr w:type="spellEnd"/>
      <w:r w:rsidRPr="00852214">
        <w:rPr>
          <w:rFonts w:ascii="Times New Roman" w:eastAsia="Times New Roman" w:hAnsi="Times New Roman" w:cs="Times New Roman"/>
          <w:sz w:val="24"/>
          <w:szCs w:val="24"/>
          <w:lang w:eastAsia="ru-RU"/>
        </w:rPr>
        <w:t xml:space="preserve"> странами в отношении прав FACB в законодательстве. Отметим, что ратифицирующие страны определяются как те, которые ратифицировали обе Конвенции 87 и 98, и в этом случае ее национальное законодательство в настоящее время не кодируется. С другой стороны, страны, не являющиеся ратифицирующими, делятся на две категории: те, которые не ратифицировали ни 87, ни 98, и те, которые ратифицировали только одну из этих конвенций. Если страна ратифицировала только 87, ее национальное законодательство кодируется за нарушения, относящиеся к 98, поскольку нарушения </w:t>
      </w:r>
      <w:r w:rsidR="006A6FC8" w:rsidRPr="00852214">
        <w:rPr>
          <w:rFonts w:ascii="Times New Roman" w:eastAsia="Times New Roman" w:hAnsi="Times New Roman" w:cs="Times New Roman"/>
          <w:sz w:val="24"/>
          <w:szCs w:val="24"/>
          <w:lang w:eastAsia="ru-RU"/>
        </w:rPr>
        <w:t>по</w:t>
      </w:r>
      <w:r w:rsidRPr="00852214">
        <w:rPr>
          <w:rFonts w:ascii="Times New Roman" w:eastAsia="Times New Roman" w:hAnsi="Times New Roman" w:cs="Times New Roman"/>
          <w:sz w:val="24"/>
          <w:szCs w:val="24"/>
          <w:lang w:eastAsia="ru-RU"/>
        </w:rPr>
        <w:t xml:space="preserve"> 87 подпадают под компетенцию Комитета экспертов МОТ, а также Комитета по применению стандартов. Аналогичным образом, если страна ратифицировала только 98, ее национальное законодательство кодируется за нарушения, относящиеся к 87. Обратите внимание, что для федеративных государств закодировано только законодательство на уровне федерального уровня.</w:t>
      </w:r>
    </w:p>
    <w:p w:rsidR="00DF4E50" w:rsidRPr="00852214" w:rsidRDefault="00DF4E50"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Семь текстовых источников перечислены в таблице 3 вместе с соответствующими буквами, по которым они закодированы, а также связаны ли эти источники с ратифицирующими странами, странами, не ратифицирующими страну, или и тем, и другим.</w:t>
      </w:r>
    </w:p>
    <w:tbl>
      <w:tblPr>
        <w:tblW w:w="11539" w:type="dxa"/>
        <w:tblInd w:w="-1310" w:type="dxa"/>
        <w:tblLook w:val="04A0" w:firstRow="1" w:lastRow="0" w:firstColumn="1" w:lastColumn="0" w:noHBand="0" w:noVBand="1"/>
      </w:tblPr>
      <w:tblGrid>
        <w:gridCol w:w="6096"/>
        <w:gridCol w:w="1660"/>
        <w:gridCol w:w="2204"/>
        <w:gridCol w:w="2387"/>
      </w:tblGrid>
      <w:tr w:rsidR="00DF4E50" w:rsidRPr="00852214" w:rsidTr="00D53218">
        <w:trPr>
          <w:trHeight w:val="375"/>
        </w:trPr>
        <w:tc>
          <w:tcPr>
            <w:tcW w:w="11539" w:type="dxa"/>
            <w:gridSpan w:val="4"/>
            <w:tcBorders>
              <w:top w:val="nil"/>
              <w:left w:val="nil"/>
              <w:bottom w:val="nil"/>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Таблица 3: Текстовые источники</w:t>
            </w:r>
          </w:p>
        </w:tc>
      </w:tr>
      <w:tr w:rsidR="00DF4E50" w:rsidRPr="00852214" w:rsidTr="00D53218">
        <w:trPr>
          <w:trHeight w:val="1260"/>
        </w:trPr>
        <w:tc>
          <w:tcPr>
            <w:tcW w:w="6096" w:type="dxa"/>
            <w:tcBorders>
              <w:top w:val="nil"/>
              <w:left w:val="nil"/>
              <w:bottom w:val="single" w:sz="4" w:space="0" w:color="auto"/>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1479" w:type="dxa"/>
            <w:tcBorders>
              <w:top w:val="nil"/>
              <w:left w:val="nil"/>
              <w:bottom w:val="single" w:sz="4" w:space="0" w:color="auto"/>
              <w:right w:val="nil"/>
            </w:tcBorders>
            <w:shd w:val="clear" w:color="000000" w:fill="FFFFFF"/>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Кодирующая буква</w:t>
            </w:r>
          </w:p>
        </w:tc>
        <w:tc>
          <w:tcPr>
            <w:tcW w:w="1848" w:type="dxa"/>
            <w:tcBorders>
              <w:top w:val="nil"/>
              <w:left w:val="nil"/>
              <w:bottom w:val="single" w:sz="4" w:space="0" w:color="auto"/>
              <w:right w:val="nil"/>
            </w:tcBorders>
            <w:shd w:val="clear" w:color="000000" w:fill="FFFFFF"/>
            <w:vAlign w:val="bottom"/>
            <w:hideMark/>
          </w:tcPr>
          <w:p w:rsidR="00DF4E50" w:rsidRPr="00852214" w:rsidRDefault="00362A98"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 xml:space="preserve">Ратифицирующие страны (как </w:t>
            </w:r>
            <w:r w:rsidRPr="00852214">
              <w:rPr>
                <w:rFonts w:ascii="Times New Roman" w:hAnsi="Times New Roman" w:cs="Times New Roman"/>
                <w:b/>
                <w:bCs/>
                <w:color w:val="000000"/>
                <w:sz w:val="24"/>
                <w:szCs w:val="24"/>
                <w:lang w:val="en-US" w:eastAsia="en-GB"/>
              </w:rPr>
              <w:t>C</w:t>
            </w:r>
            <w:r w:rsidRPr="00852214">
              <w:rPr>
                <w:rFonts w:ascii="Times New Roman" w:hAnsi="Times New Roman" w:cs="Times New Roman"/>
                <w:b/>
                <w:bCs/>
                <w:color w:val="000000"/>
                <w:sz w:val="24"/>
                <w:szCs w:val="24"/>
                <w:lang w:eastAsia="en-GB"/>
              </w:rPr>
              <w:t xml:space="preserve">.87, так и </w:t>
            </w:r>
            <w:r w:rsidRPr="00852214">
              <w:rPr>
                <w:rFonts w:ascii="Times New Roman" w:hAnsi="Times New Roman" w:cs="Times New Roman"/>
                <w:b/>
                <w:bCs/>
                <w:color w:val="000000"/>
                <w:sz w:val="24"/>
                <w:szCs w:val="24"/>
                <w:lang w:val="en-US" w:eastAsia="en-GB"/>
              </w:rPr>
              <w:t>C</w:t>
            </w:r>
            <w:r w:rsidRPr="00852214">
              <w:rPr>
                <w:rFonts w:ascii="Times New Roman" w:hAnsi="Times New Roman" w:cs="Times New Roman"/>
                <w:b/>
                <w:bCs/>
                <w:color w:val="000000"/>
                <w:sz w:val="24"/>
                <w:szCs w:val="24"/>
                <w:lang w:eastAsia="en-GB"/>
              </w:rPr>
              <w:t>.98)</w:t>
            </w:r>
          </w:p>
        </w:tc>
        <w:tc>
          <w:tcPr>
            <w:tcW w:w="2116" w:type="dxa"/>
            <w:tcBorders>
              <w:top w:val="nil"/>
              <w:left w:val="nil"/>
              <w:bottom w:val="single" w:sz="4" w:space="0" w:color="auto"/>
              <w:right w:val="nil"/>
            </w:tcBorders>
            <w:shd w:val="clear" w:color="000000" w:fill="FFFFFF"/>
            <w:vAlign w:val="bottom"/>
            <w:hideMark/>
          </w:tcPr>
          <w:p w:rsidR="00DF4E50" w:rsidRPr="00852214" w:rsidRDefault="00362A98"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Страны, не ратифицировавшие конвенцию</w:t>
            </w:r>
          </w:p>
        </w:tc>
      </w:tr>
      <w:tr w:rsidR="00DF4E50" w:rsidRPr="00852214" w:rsidTr="00D53218">
        <w:trPr>
          <w:trHeight w:val="315"/>
        </w:trPr>
        <w:tc>
          <w:tcPr>
            <w:tcW w:w="6096" w:type="dxa"/>
            <w:tcBorders>
              <w:top w:val="single" w:sz="4" w:space="0" w:color="auto"/>
              <w:left w:val="nil"/>
              <w:bottom w:val="single" w:sz="4" w:space="0" w:color="auto"/>
              <w:right w:val="nil"/>
            </w:tcBorders>
            <w:shd w:val="clear" w:color="000000" w:fill="FFFFFF"/>
            <w:noWrap/>
            <w:vAlign w:val="bottom"/>
            <w:hideMark/>
          </w:tcPr>
          <w:p w:rsidR="00DF4E50" w:rsidRPr="00852214" w:rsidRDefault="00362A98" w:rsidP="00852214">
            <w:pPr>
              <w:spacing w:before="100" w:beforeAutospacing="1" w:after="100" w:afterAutospacing="1" w:line="276" w:lineRule="auto"/>
              <w:jc w:val="both"/>
              <w:rPr>
                <w:rFonts w:ascii="Times New Roman" w:hAnsi="Times New Roman" w:cs="Times New Roman"/>
                <w:i/>
                <w:iCs/>
                <w:color w:val="000000"/>
                <w:sz w:val="24"/>
                <w:szCs w:val="24"/>
                <w:lang w:eastAsia="en-GB"/>
              </w:rPr>
            </w:pPr>
            <w:r w:rsidRPr="00852214">
              <w:rPr>
                <w:rFonts w:ascii="Times New Roman" w:hAnsi="Times New Roman" w:cs="Times New Roman"/>
                <w:i/>
                <w:iCs/>
                <w:color w:val="000000"/>
                <w:sz w:val="24"/>
                <w:szCs w:val="24"/>
                <w:lang w:eastAsia="en-GB"/>
              </w:rPr>
              <w:t>Доклады комитета экспертов по применению конвенций и рекомендаций</w:t>
            </w:r>
          </w:p>
        </w:tc>
        <w:tc>
          <w:tcPr>
            <w:tcW w:w="1479" w:type="dxa"/>
            <w:tcBorders>
              <w:top w:val="single" w:sz="4" w:space="0" w:color="auto"/>
              <w:left w:val="nil"/>
              <w:bottom w:val="single" w:sz="4" w:space="0" w:color="auto"/>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a</w:t>
            </w:r>
          </w:p>
        </w:tc>
        <w:tc>
          <w:tcPr>
            <w:tcW w:w="1848" w:type="dxa"/>
            <w:tcBorders>
              <w:top w:val="single" w:sz="4" w:space="0" w:color="auto"/>
              <w:left w:val="nil"/>
              <w:bottom w:val="single" w:sz="4" w:space="0" w:color="auto"/>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X</w:t>
            </w:r>
          </w:p>
        </w:tc>
        <w:tc>
          <w:tcPr>
            <w:tcW w:w="2116" w:type="dxa"/>
            <w:tcBorders>
              <w:top w:val="single" w:sz="4" w:space="0" w:color="auto"/>
              <w:left w:val="nil"/>
              <w:bottom w:val="single" w:sz="4" w:space="0" w:color="auto"/>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r>
      <w:tr w:rsidR="00DF4E50" w:rsidRPr="00852214" w:rsidTr="00D53218">
        <w:trPr>
          <w:trHeight w:val="315"/>
        </w:trPr>
        <w:tc>
          <w:tcPr>
            <w:tcW w:w="6096" w:type="dxa"/>
            <w:tcBorders>
              <w:top w:val="single" w:sz="4" w:space="0" w:color="auto"/>
              <w:left w:val="nil"/>
              <w:bottom w:val="single" w:sz="4" w:space="0" w:color="auto"/>
              <w:right w:val="nil"/>
            </w:tcBorders>
            <w:shd w:val="clear" w:color="000000" w:fill="FFFFFF"/>
            <w:noWrap/>
            <w:vAlign w:val="bottom"/>
            <w:hideMark/>
          </w:tcPr>
          <w:p w:rsidR="00DF4E50" w:rsidRPr="00852214" w:rsidRDefault="00362A98" w:rsidP="00852214">
            <w:pPr>
              <w:spacing w:before="100" w:beforeAutospacing="1" w:after="100" w:afterAutospacing="1" w:line="276" w:lineRule="auto"/>
              <w:jc w:val="both"/>
              <w:rPr>
                <w:rFonts w:ascii="Times New Roman" w:hAnsi="Times New Roman" w:cs="Times New Roman"/>
                <w:i/>
                <w:iCs/>
                <w:color w:val="000000"/>
                <w:sz w:val="24"/>
                <w:szCs w:val="24"/>
                <w:lang w:eastAsia="en-GB"/>
              </w:rPr>
            </w:pPr>
            <w:r w:rsidRPr="00852214">
              <w:rPr>
                <w:rFonts w:ascii="Times New Roman" w:hAnsi="Times New Roman" w:cs="Times New Roman"/>
                <w:i/>
                <w:iCs/>
                <w:color w:val="000000"/>
                <w:sz w:val="24"/>
                <w:szCs w:val="24"/>
                <w:lang w:eastAsia="en-GB"/>
              </w:rPr>
              <w:t>Доклады комитета Конференции по применению стандартов</w:t>
            </w:r>
          </w:p>
        </w:tc>
        <w:tc>
          <w:tcPr>
            <w:tcW w:w="1479" w:type="dxa"/>
            <w:tcBorders>
              <w:top w:val="single" w:sz="4" w:space="0" w:color="auto"/>
              <w:left w:val="nil"/>
              <w:bottom w:val="single" w:sz="4" w:space="0" w:color="auto"/>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b</w:t>
            </w:r>
          </w:p>
        </w:tc>
        <w:tc>
          <w:tcPr>
            <w:tcW w:w="1848" w:type="dxa"/>
            <w:tcBorders>
              <w:top w:val="single" w:sz="4" w:space="0" w:color="auto"/>
              <w:left w:val="nil"/>
              <w:bottom w:val="single" w:sz="4" w:space="0" w:color="auto"/>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X</w:t>
            </w:r>
          </w:p>
        </w:tc>
        <w:tc>
          <w:tcPr>
            <w:tcW w:w="2116" w:type="dxa"/>
            <w:tcBorders>
              <w:top w:val="single" w:sz="4" w:space="0" w:color="auto"/>
              <w:left w:val="nil"/>
              <w:bottom w:val="single" w:sz="4" w:space="0" w:color="auto"/>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r>
      <w:tr w:rsidR="00DF4E50" w:rsidRPr="00852214" w:rsidTr="00D53218">
        <w:trPr>
          <w:trHeight w:val="315"/>
        </w:trPr>
        <w:tc>
          <w:tcPr>
            <w:tcW w:w="6096" w:type="dxa"/>
            <w:tcBorders>
              <w:top w:val="single" w:sz="4" w:space="0" w:color="auto"/>
              <w:left w:val="nil"/>
              <w:bottom w:val="single" w:sz="4" w:space="0" w:color="auto"/>
              <w:right w:val="nil"/>
            </w:tcBorders>
            <w:shd w:val="clear" w:color="000000" w:fill="FFFFFF"/>
            <w:noWrap/>
            <w:vAlign w:val="bottom"/>
            <w:hideMark/>
          </w:tcPr>
          <w:p w:rsidR="00DF4E50" w:rsidRPr="00852214" w:rsidRDefault="00362A98" w:rsidP="00852214">
            <w:pPr>
              <w:spacing w:before="100" w:beforeAutospacing="1" w:after="100" w:afterAutospacing="1" w:line="276" w:lineRule="auto"/>
              <w:jc w:val="both"/>
              <w:rPr>
                <w:rFonts w:ascii="Times New Roman" w:hAnsi="Times New Roman" w:cs="Times New Roman"/>
                <w:i/>
                <w:iCs/>
                <w:color w:val="000000"/>
                <w:sz w:val="24"/>
                <w:szCs w:val="24"/>
                <w:lang w:eastAsia="en-GB"/>
              </w:rPr>
            </w:pPr>
            <w:r w:rsidRPr="00852214">
              <w:rPr>
                <w:rFonts w:ascii="Times New Roman" w:hAnsi="Times New Roman" w:cs="Times New Roman"/>
                <w:i/>
                <w:iCs/>
                <w:color w:val="000000"/>
                <w:sz w:val="24"/>
                <w:szCs w:val="24"/>
                <w:lang w:eastAsia="en-GB"/>
              </w:rPr>
              <w:t>Базовые показатели по странам в рамках ежегодного обзора декларации МОТ</w:t>
            </w:r>
          </w:p>
        </w:tc>
        <w:tc>
          <w:tcPr>
            <w:tcW w:w="1479" w:type="dxa"/>
            <w:tcBorders>
              <w:top w:val="single" w:sz="4" w:space="0" w:color="auto"/>
              <w:left w:val="nil"/>
              <w:bottom w:val="single" w:sz="4" w:space="0" w:color="auto"/>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c</w:t>
            </w:r>
          </w:p>
        </w:tc>
        <w:tc>
          <w:tcPr>
            <w:tcW w:w="1848" w:type="dxa"/>
            <w:tcBorders>
              <w:top w:val="single" w:sz="4" w:space="0" w:color="auto"/>
              <w:left w:val="nil"/>
              <w:bottom w:val="single" w:sz="4" w:space="0" w:color="auto"/>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2116" w:type="dxa"/>
            <w:tcBorders>
              <w:top w:val="single" w:sz="4" w:space="0" w:color="auto"/>
              <w:left w:val="nil"/>
              <w:bottom w:val="single" w:sz="4" w:space="0" w:color="auto"/>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X</w:t>
            </w:r>
          </w:p>
        </w:tc>
      </w:tr>
      <w:tr w:rsidR="00DF4E50" w:rsidRPr="00852214" w:rsidTr="00D53218">
        <w:trPr>
          <w:trHeight w:val="315"/>
        </w:trPr>
        <w:tc>
          <w:tcPr>
            <w:tcW w:w="6096" w:type="dxa"/>
            <w:tcBorders>
              <w:top w:val="single" w:sz="4" w:space="0" w:color="auto"/>
              <w:left w:val="nil"/>
              <w:bottom w:val="single" w:sz="4" w:space="0" w:color="auto"/>
              <w:right w:val="nil"/>
            </w:tcBorders>
            <w:shd w:val="clear" w:color="000000" w:fill="FFFFFF"/>
            <w:noWrap/>
            <w:vAlign w:val="bottom"/>
            <w:hideMark/>
          </w:tcPr>
          <w:p w:rsidR="00DF4E50" w:rsidRPr="00852214" w:rsidRDefault="00362A98" w:rsidP="00852214">
            <w:pPr>
              <w:spacing w:before="100" w:beforeAutospacing="1" w:after="100" w:afterAutospacing="1" w:line="276" w:lineRule="auto"/>
              <w:jc w:val="both"/>
              <w:rPr>
                <w:rFonts w:ascii="Times New Roman" w:hAnsi="Times New Roman" w:cs="Times New Roman"/>
                <w:i/>
                <w:iCs/>
                <w:color w:val="000000"/>
                <w:sz w:val="24"/>
                <w:szCs w:val="24"/>
                <w:lang w:eastAsia="en-GB"/>
              </w:rPr>
            </w:pPr>
            <w:r w:rsidRPr="00852214">
              <w:rPr>
                <w:rFonts w:ascii="Times New Roman" w:hAnsi="Times New Roman" w:cs="Times New Roman"/>
                <w:i/>
                <w:iCs/>
                <w:color w:val="000000"/>
                <w:sz w:val="24"/>
                <w:szCs w:val="24"/>
                <w:lang w:eastAsia="en-GB"/>
              </w:rPr>
              <w:t>Представления в соответствии со статьей 24 Устава МОТ</w:t>
            </w:r>
          </w:p>
        </w:tc>
        <w:tc>
          <w:tcPr>
            <w:tcW w:w="1479" w:type="dxa"/>
            <w:tcBorders>
              <w:top w:val="single" w:sz="4" w:space="0" w:color="auto"/>
              <w:left w:val="nil"/>
              <w:bottom w:val="single" w:sz="4" w:space="0" w:color="auto"/>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d</w:t>
            </w:r>
          </w:p>
        </w:tc>
        <w:tc>
          <w:tcPr>
            <w:tcW w:w="1848" w:type="dxa"/>
            <w:tcBorders>
              <w:top w:val="single" w:sz="4" w:space="0" w:color="auto"/>
              <w:left w:val="nil"/>
              <w:bottom w:val="single" w:sz="4" w:space="0" w:color="auto"/>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X</w:t>
            </w:r>
          </w:p>
        </w:tc>
        <w:tc>
          <w:tcPr>
            <w:tcW w:w="2116" w:type="dxa"/>
            <w:tcBorders>
              <w:top w:val="single" w:sz="4" w:space="0" w:color="auto"/>
              <w:left w:val="nil"/>
              <w:bottom w:val="single" w:sz="4" w:space="0" w:color="auto"/>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r>
      <w:tr w:rsidR="00DF4E50" w:rsidRPr="00852214" w:rsidTr="00D53218">
        <w:trPr>
          <w:trHeight w:val="315"/>
        </w:trPr>
        <w:tc>
          <w:tcPr>
            <w:tcW w:w="6096" w:type="dxa"/>
            <w:tcBorders>
              <w:top w:val="single" w:sz="4" w:space="0" w:color="auto"/>
              <w:left w:val="nil"/>
              <w:bottom w:val="single" w:sz="4" w:space="0" w:color="auto"/>
              <w:right w:val="nil"/>
            </w:tcBorders>
            <w:shd w:val="clear" w:color="000000" w:fill="FFFFFF"/>
            <w:noWrap/>
            <w:vAlign w:val="bottom"/>
            <w:hideMark/>
          </w:tcPr>
          <w:p w:rsidR="00DF4E50" w:rsidRPr="00852214" w:rsidRDefault="00362A98" w:rsidP="00852214">
            <w:pPr>
              <w:spacing w:before="100" w:beforeAutospacing="1" w:after="100" w:afterAutospacing="1" w:line="276" w:lineRule="auto"/>
              <w:jc w:val="both"/>
              <w:rPr>
                <w:rFonts w:ascii="Times New Roman" w:hAnsi="Times New Roman" w:cs="Times New Roman"/>
                <w:i/>
                <w:iCs/>
                <w:color w:val="000000"/>
                <w:sz w:val="24"/>
                <w:szCs w:val="24"/>
                <w:lang w:eastAsia="en-GB"/>
              </w:rPr>
            </w:pPr>
            <w:r w:rsidRPr="00852214">
              <w:rPr>
                <w:rFonts w:ascii="Times New Roman" w:hAnsi="Times New Roman" w:cs="Times New Roman"/>
                <w:i/>
                <w:iCs/>
                <w:color w:val="000000"/>
                <w:sz w:val="24"/>
                <w:szCs w:val="24"/>
                <w:lang w:eastAsia="en-GB"/>
              </w:rPr>
              <w:t>Жалобы в соответствии со статьей 26 Устава МОТ</w:t>
            </w:r>
          </w:p>
        </w:tc>
        <w:tc>
          <w:tcPr>
            <w:tcW w:w="1479" w:type="dxa"/>
            <w:tcBorders>
              <w:top w:val="single" w:sz="4" w:space="0" w:color="auto"/>
              <w:left w:val="nil"/>
              <w:bottom w:val="single" w:sz="4" w:space="0" w:color="auto"/>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e</w:t>
            </w:r>
          </w:p>
        </w:tc>
        <w:tc>
          <w:tcPr>
            <w:tcW w:w="1848" w:type="dxa"/>
            <w:tcBorders>
              <w:top w:val="single" w:sz="4" w:space="0" w:color="auto"/>
              <w:left w:val="nil"/>
              <w:bottom w:val="single" w:sz="4" w:space="0" w:color="auto"/>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X</w:t>
            </w:r>
          </w:p>
        </w:tc>
        <w:tc>
          <w:tcPr>
            <w:tcW w:w="2116" w:type="dxa"/>
            <w:tcBorders>
              <w:top w:val="single" w:sz="4" w:space="0" w:color="auto"/>
              <w:left w:val="nil"/>
              <w:bottom w:val="single" w:sz="4" w:space="0" w:color="auto"/>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r>
      <w:tr w:rsidR="00DF4E50" w:rsidRPr="00852214" w:rsidTr="00D53218">
        <w:trPr>
          <w:trHeight w:val="315"/>
        </w:trPr>
        <w:tc>
          <w:tcPr>
            <w:tcW w:w="6096" w:type="dxa"/>
            <w:tcBorders>
              <w:top w:val="single" w:sz="4" w:space="0" w:color="auto"/>
              <w:left w:val="nil"/>
              <w:bottom w:val="single" w:sz="4" w:space="0" w:color="auto"/>
              <w:right w:val="nil"/>
            </w:tcBorders>
            <w:shd w:val="clear" w:color="000000" w:fill="FFFFFF"/>
            <w:noWrap/>
            <w:vAlign w:val="bottom"/>
            <w:hideMark/>
          </w:tcPr>
          <w:p w:rsidR="00DF4E50" w:rsidRPr="00852214" w:rsidRDefault="00362A98" w:rsidP="00852214">
            <w:pPr>
              <w:spacing w:before="100" w:beforeAutospacing="1" w:after="100" w:afterAutospacing="1" w:line="276" w:lineRule="auto"/>
              <w:jc w:val="both"/>
              <w:rPr>
                <w:rFonts w:ascii="Times New Roman" w:hAnsi="Times New Roman" w:cs="Times New Roman"/>
                <w:i/>
                <w:iCs/>
                <w:color w:val="000000"/>
                <w:sz w:val="24"/>
                <w:szCs w:val="24"/>
                <w:lang w:eastAsia="en-GB"/>
              </w:rPr>
            </w:pPr>
            <w:r w:rsidRPr="00852214">
              <w:rPr>
                <w:rFonts w:ascii="Times New Roman" w:hAnsi="Times New Roman" w:cs="Times New Roman"/>
                <w:i/>
                <w:iCs/>
                <w:color w:val="000000"/>
                <w:sz w:val="24"/>
                <w:szCs w:val="24"/>
                <w:lang w:eastAsia="en-GB"/>
              </w:rPr>
              <w:t>Доклады Комитета по свободе объединения</w:t>
            </w:r>
          </w:p>
        </w:tc>
        <w:tc>
          <w:tcPr>
            <w:tcW w:w="1479" w:type="dxa"/>
            <w:tcBorders>
              <w:top w:val="single" w:sz="4" w:space="0" w:color="auto"/>
              <w:left w:val="nil"/>
              <w:bottom w:val="single" w:sz="4" w:space="0" w:color="auto"/>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f</w:t>
            </w:r>
          </w:p>
        </w:tc>
        <w:tc>
          <w:tcPr>
            <w:tcW w:w="1848" w:type="dxa"/>
            <w:tcBorders>
              <w:top w:val="single" w:sz="4" w:space="0" w:color="auto"/>
              <w:left w:val="nil"/>
              <w:bottom w:val="single" w:sz="4" w:space="0" w:color="auto"/>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X</w:t>
            </w:r>
          </w:p>
        </w:tc>
        <w:tc>
          <w:tcPr>
            <w:tcW w:w="2116" w:type="dxa"/>
            <w:tcBorders>
              <w:top w:val="single" w:sz="4" w:space="0" w:color="auto"/>
              <w:left w:val="nil"/>
              <w:bottom w:val="single" w:sz="4" w:space="0" w:color="auto"/>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X</w:t>
            </w:r>
          </w:p>
        </w:tc>
      </w:tr>
      <w:tr w:rsidR="00DF4E50" w:rsidRPr="00852214" w:rsidTr="00D53218">
        <w:trPr>
          <w:trHeight w:val="315"/>
        </w:trPr>
        <w:tc>
          <w:tcPr>
            <w:tcW w:w="6096" w:type="dxa"/>
            <w:tcBorders>
              <w:top w:val="single" w:sz="4" w:space="0" w:color="auto"/>
              <w:left w:val="nil"/>
              <w:bottom w:val="nil"/>
              <w:right w:val="nil"/>
            </w:tcBorders>
            <w:shd w:val="clear" w:color="000000" w:fill="FFFFFF"/>
            <w:noWrap/>
            <w:vAlign w:val="bottom"/>
            <w:hideMark/>
          </w:tcPr>
          <w:p w:rsidR="00DF4E50" w:rsidRPr="00852214" w:rsidRDefault="00362A98"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Национальное законодательство</w:t>
            </w:r>
          </w:p>
        </w:tc>
        <w:tc>
          <w:tcPr>
            <w:tcW w:w="1479" w:type="dxa"/>
            <w:tcBorders>
              <w:top w:val="single" w:sz="4" w:space="0" w:color="auto"/>
              <w:left w:val="nil"/>
              <w:bottom w:val="nil"/>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g</w:t>
            </w:r>
          </w:p>
        </w:tc>
        <w:tc>
          <w:tcPr>
            <w:tcW w:w="1848" w:type="dxa"/>
            <w:tcBorders>
              <w:top w:val="single" w:sz="4" w:space="0" w:color="auto"/>
              <w:left w:val="nil"/>
              <w:bottom w:val="nil"/>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2116" w:type="dxa"/>
            <w:tcBorders>
              <w:top w:val="single" w:sz="4" w:space="0" w:color="auto"/>
              <w:left w:val="nil"/>
              <w:bottom w:val="nil"/>
              <w:right w:val="nil"/>
            </w:tcBorders>
            <w:shd w:val="clear" w:color="000000" w:fill="FFFFFF"/>
            <w:noWrap/>
            <w:vAlign w:val="bottom"/>
            <w:hideMark/>
          </w:tcPr>
          <w:p w:rsidR="00DF4E50" w:rsidRPr="00852214" w:rsidRDefault="00DF4E50"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X</w:t>
            </w:r>
          </w:p>
        </w:tc>
      </w:tr>
    </w:tbl>
    <w:p w:rsidR="00DF4E50" w:rsidRPr="00852214" w:rsidRDefault="00DF4E50"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p>
    <w:p w:rsidR="00677767" w:rsidRPr="00852214" w:rsidRDefault="00677767" w:rsidP="00852214">
      <w:pPr>
        <w:spacing w:before="100" w:beforeAutospacing="1" w:after="100" w:afterAutospacing="1" w:line="276" w:lineRule="auto"/>
        <w:jc w:val="both"/>
        <w:rPr>
          <w:rFonts w:ascii="Times New Roman" w:eastAsia="Times New Roman" w:hAnsi="Times New Roman" w:cs="Times New Roman"/>
          <w:b/>
          <w:color w:val="0070C0"/>
          <w:sz w:val="24"/>
          <w:szCs w:val="24"/>
          <w:lang w:eastAsia="ru-RU"/>
        </w:rPr>
      </w:pPr>
      <w:r w:rsidRPr="00852214">
        <w:rPr>
          <w:rFonts w:ascii="Times New Roman" w:eastAsia="Times New Roman" w:hAnsi="Times New Roman" w:cs="Times New Roman"/>
          <w:b/>
          <w:color w:val="0070C0"/>
          <w:sz w:val="24"/>
          <w:szCs w:val="24"/>
          <w:lang w:eastAsia="ru-RU"/>
        </w:rPr>
        <w:t xml:space="preserve">Использование метода </w:t>
      </w:r>
      <w:proofErr w:type="spellStart"/>
      <w:r w:rsidRPr="00852214">
        <w:rPr>
          <w:rFonts w:ascii="Times New Roman" w:eastAsia="Times New Roman" w:hAnsi="Times New Roman" w:cs="Times New Roman"/>
          <w:b/>
          <w:color w:val="0070C0"/>
          <w:sz w:val="24"/>
          <w:szCs w:val="24"/>
          <w:lang w:eastAsia="ru-RU"/>
        </w:rPr>
        <w:t>Delphi</w:t>
      </w:r>
      <w:proofErr w:type="spellEnd"/>
      <w:r w:rsidRPr="00852214">
        <w:rPr>
          <w:rFonts w:ascii="Times New Roman" w:eastAsia="Times New Roman" w:hAnsi="Times New Roman" w:cs="Times New Roman"/>
          <w:b/>
          <w:color w:val="0070C0"/>
          <w:sz w:val="24"/>
          <w:szCs w:val="24"/>
          <w:lang w:eastAsia="ru-RU"/>
        </w:rPr>
        <w:t xml:space="preserve"> для построения критериев оценки</w:t>
      </w:r>
    </w:p>
    <w:p w:rsidR="00677767" w:rsidRPr="00852214" w:rsidRDefault="00677767"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Применение метода </w:t>
      </w:r>
      <w:proofErr w:type="spellStart"/>
      <w:r w:rsidRPr="00852214">
        <w:rPr>
          <w:rFonts w:ascii="Times New Roman" w:eastAsia="Times New Roman" w:hAnsi="Times New Roman" w:cs="Times New Roman"/>
          <w:sz w:val="24"/>
          <w:szCs w:val="24"/>
          <w:lang w:eastAsia="ru-RU"/>
        </w:rPr>
        <w:t>Delphi</w:t>
      </w:r>
      <w:proofErr w:type="spellEnd"/>
      <w:r w:rsidRPr="00852214">
        <w:rPr>
          <w:rFonts w:ascii="Times New Roman" w:eastAsia="Times New Roman" w:hAnsi="Times New Roman" w:cs="Times New Roman"/>
          <w:sz w:val="24"/>
          <w:szCs w:val="24"/>
          <w:lang w:eastAsia="ru-RU"/>
        </w:rPr>
        <w:t xml:space="preserve"> состояло из двух раундов опросов, проведенных по электронной почте международно признанных экспертов в области трудового права, имеющих знания о контрольной системе МОТ и конкретных знаниях прав FACB, определенных МОТ. Еще одно соображение - региональное представительство. Эксперты оставались анонимными по отношению друг к другу на протяжении всего процесса. </w:t>
      </w:r>
      <w:r w:rsidRPr="00852214">
        <w:rPr>
          <w:rFonts w:ascii="Times New Roman" w:eastAsia="Times New Roman" w:hAnsi="Times New Roman" w:cs="Times New Roman"/>
          <w:sz w:val="24"/>
          <w:szCs w:val="24"/>
          <w:lang w:eastAsia="ru-RU"/>
        </w:rPr>
        <w:lastRenderedPageBreak/>
        <w:t>Первоначальные приглашения принять участие были направлены 37 экспертам, из которых 18 изначально согласились принять участие, и из них 14 прошли оба раунда обследований. Из этих 14 экспертов 13 были юристами, а один политолог, пять из которых базировались в Западной Европе, один в Восточной Европе, три в США, два в Латинской Америке, два в Азии и один в Африке.</w:t>
      </w:r>
    </w:p>
    <w:p w:rsidR="00677767" w:rsidRPr="00852214" w:rsidRDefault="00677767" w:rsidP="00852214">
      <w:pPr>
        <w:spacing w:before="100" w:beforeAutospacing="1" w:after="100" w:afterAutospacing="1" w:line="276" w:lineRule="auto"/>
        <w:jc w:val="both"/>
        <w:rPr>
          <w:rFonts w:ascii="Times New Roman" w:eastAsia="Times New Roman" w:hAnsi="Times New Roman" w:cs="Times New Roman"/>
          <w:b/>
          <w:color w:val="0070C0"/>
          <w:sz w:val="24"/>
          <w:szCs w:val="24"/>
          <w:lang w:eastAsia="ru-RU"/>
        </w:rPr>
      </w:pPr>
      <w:r w:rsidRPr="00852214">
        <w:rPr>
          <w:rFonts w:ascii="Times New Roman" w:eastAsia="Times New Roman" w:hAnsi="Times New Roman" w:cs="Times New Roman"/>
          <w:b/>
          <w:color w:val="0070C0"/>
          <w:sz w:val="24"/>
          <w:szCs w:val="24"/>
          <w:lang w:eastAsia="ru-RU"/>
        </w:rPr>
        <w:t>Применение значений веса, нормализации и оценки по умолчанию</w:t>
      </w:r>
    </w:p>
    <w:p w:rsidR="00677767" w:rsidRPr="00852214" w:rsidRDefault="00677767"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Необработанное кодирование использует буквы «a» - «g» (опять же, каждая буква, соответствующая одному из семи текстовых источников), чтобы представлять закодированные нарушения прав FACB для каждого критерия оценки, предоставляя столбец из 180 ячеек для любой конкретной страны и год. Для применения весов каждой ячейке, содержащей одну или несколько букв, присваивается значение 1, а любой пустой ячейке, для которой нет закодированных нарушений, присваивается значение 0, создавая столбец двоичного кодирования. Количество букв в ячейке не влияет на построение столбца двоичного кодирования, чтобы избежать двойного счета, учитывая, что текстовые источники обычно ссылаются друг на друга. Затем ячейки столбца весов умножают на соответствующие ячейки столбца двоичного кодирования, и суммирование по ячейкам результирующей колонки дает взвешенный не нормированный балл для любой конкретной страны и года. Гипотетический пример приведен в таблице 4, в котором показаны только те критерии оценки с закодированными нарушениями. В этом примере кодируются 24 критерия оценки. Применение весов дает ненормализованный балл 42,3 и нормированный балл 4.5, основанный на правилах, описанных далее.</w:t>
      </w:r>
    </w:p>
    <w:tbl>
      <w:tblPr>
        <w:tblW w:w="10942" w:type="dxa"/>
        <w:tblInd w:w="-1168" w:type="dxa"/>
        <w:tblLook w:val="04A0" w:firstRow="1" w:lastRow="0" w:firstColumn="1" w:lastColumn="0" w:noHBand="0" w:noVBand="1"/>
      </w:tblPr>
      <w:tblGrid>
        <w:gridCol w:w="576"/>
        <w:gridCol w:w="5135"/>
        <w:gridCol w:w="280"/>
        <w:gridCol w:w="1445"/>
        <w:gridCol w:w="1445"/>
        <w:gridCol w:w="1035"/>
        <w:gridCol w:w="1369"/>
      </w:tblGrid>
      <w:tr w:rsidR="00677767" w:rsidRPr="00852214" w:rsidTr="00677767">
        <w:trPr>
          <w:trHeight w:val="375"/>
        </w:trPr>
        <w:tc>
          <w:tcPr>
            <w:tcW w:w="10942" w:type="dxa"/>
            <w:gridSpan w:val="7"/>
            <w:tcBorders>
              <w:top w:val="nil"/>
              <w:left w:val="nil"/>
              <w:bottom w:val="nil"/>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Таблица 4: Гипотетический пример кодирования и построения показателя (для отдельной страны и года)</w:t>
            </w:r>
          </w:p>
        </w:tc>
      </w:tr>
      <w:tr w:rsidR="00677767" w:rsidRPr="00852214" w:rsidTr="00677767">
        <w:trPr>
          <w:trHeight w:val="945"/>
        </w:trPr>
        <w:tc>
          <w:tcPr>
            <w:tcW w:w="5671" w:type="dxa"/>
            <w:gridSpan w:val="2"/>
            <w:tcBorders>
              <w:top w:val="nil"/>
              <w:left w:val="nil"/>
              <w:bottom w:val="single" w:sz="4" w:space="0" w:color="auto"/>
              <w:right w:val="nil"/>
            </w:tcBorders>
            <w:shd w:val="clear" w:color="000000" w:fill="FFFFFF"/>
            <w:noWrap/>
            <w:vAlign w:val="bottom"/>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Критерии оценки</w:t>
            </w:r>
          </w:p>
        </w:tc>
        <w:tc>
          <w:tcPr>
            <w:tcW w:w="280" w:type="dxa"/>
            <w:tcBorders>
              <w:top w:val="nil"/>
              <w:left w:val="nil"/>
              <w:bottom w:val="nil"/>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 </w:t>
            </w:r>
          </w:p>
        </w:tc>
        <w:tc>
          <w:tcPr>
            <w:tcW w:w="1445" w:type="dxa"/>
            <w:tcBorders>
              <w:top w:val="nil"/>
              <w:left w:val="nil"/>
              <w:bottom w:val="single" w:sz="4" w:space="0" w:color="auto"/>
              <w:right w:val="nil"/>
            </w:tcBorders>
            <w:shd w:val="clear" w:color="000000" w:fill="FFFFFF"/>
            <w:vAlign w:val="bottom"/>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Текстовый код</w:t>
            </w:r>
          </w:p>
        </w:tc>
        <w:tc>
          <w:tcPr>
            <w:tcW w:w="1445" w:type="dxa"/>
            <w:tcBorders>
              <w:top w:val="nil"/>
              <w:left w:val="nil"/>
              <w:bottom w:val="single" w:sz="4" w:space="0" w:color="auto"/>
              <w:right w:val="nil"/>
            </w:tcBorders>
            <w:shd w:val="clear" w:color="000000" w:fill="FFFFFF"/>
            <w:vAlign w:val="bottom"/>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Бинарный код</w:t>
            </w:r>
          </w:p>
        </w:tc>
        <w:tc>
          <w:tcPr>
            <w:tcW w:w="1035" w:type="dxa"/>
            <w:tcBorders>
              <w:top w:val="nil"/>
              <w:left w:val="nil"/>
              <w:bottom w:val="single" w:sz="4" w:space="0" w:color="auto"/>
              <w:right w:val="nil"/>
            </w:tcBorders>
            <w:shd w:val="clear" w:color="000000" w:fill="FFFFFF"/>
            <w:noWrap/>
            <w:vAlign w:val="bottom"/>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Веса</w:t>
            </w:r>
          </w:p>
        </w:tc>
        <w:tc>
          <w:tcPr>
            <w:tcW w:w="1066" w:type="dxa"/>
            <w:tcBorders>
              <w:top w:val="nil"/>
              <w:left w:val="nil"/>
              <w:bottom w:val="single" w:sz="4" w:space="0" w:color="auto"/>
              <w:right w:val="nil"/>
            </w:tcBorders>
            <w:shd w:val="clear" w:color="000000" w:fill="FFFFFF"/>
            <w:vAlign w:val="bottom"/>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Бинарный код x Веса</w:t>
            </w:r>
          </w:p>
        </w:tc>
      </w:tr>
      <w:tr w:rsidR="00677767" w:rsidRPr="00852214" w:rsidTr="00677767">
        <w:trPr>
          <w:trHeight w:val="255"/>
        </w:trPr>
        <w:tc>
          <w:tcPr>
            <w:tcW w:w="536" w:type="dxa"/>
            <w:tcBorders>
              <w:top w:val="nil"/>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5135" w:type="dxa"/>
            <w:tcBorders>
              <w:top w:val="nil"/>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val="en-US" w:eastAsia="en-GB"/>
              </w:rPr>
              <w:t>Ia</w:t>
            </w:r>
            <w:proofErr w:type="spellEnd"/>
            <w:r w:rsidRPr="00852214">
              <w:rPr>
                <w:rFonts w:ascii="Times New Roman" w:hAnsi="Times New Roman" w:cs="Times New Roman"/>
                <w:b/>
                <w:bCs/>
                <w:sz w:val="24"/>
                <w:szCs w:val="24"/>
                <w:lang w:eastAsia="en-GB"/>
              </w:rPr>
              <w:t>. Основные гражданские свободы в законодательстве</w:t>
            </w:r>
          </w:p>
        </w:tc>
        <w:tc>
          <w:tcPr>
            <w:tcW w:w="280" w:type="dxa"/>
            <w:tcBorders>
              <w:top w:val="nil"/>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val="en-US" w:eastAsia="en-GB"/>
              </w:rPr>
              <w:t> </w:t>
            </w:r>
          </w:p>
        </w:tc>
        <w:tc>
          <w:tcPr>
            <w:tcW w:w="1445" w:type="dxa"/>
            <w:tcBorders>
              <w:top w:val="nil"/>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445" w:type="dxa"/>
            <w:tcBorders>
              <w:top w:val="nil"/>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035" w:type="dxa"/>
            <w:tcBorders>
              <w:top w:val="nil"/>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066" w:type="dxa"/>
            <w:tcBorders>
              <w:top w:val="nil"/>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2</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основных свобод профсоюзных активистов</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i</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1.93</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1.93</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val="en-US" w:eastAsia="en-GB"/>
              </w:rPr>
              <w:t>Ib</w:t>
            </w:r>
            <w:proofErr w:type="spellEnd"/>
            <w:r w:rsidRPr="00852214">
              <w:rPr>
                <w:rFonts w:ascii="Times New Roman" w:hAnsi="Times New Roman" w:cs="Times New Roman"/>
                <w:b/>
                <w:bCs/>
                <w:sz w:val="24"/>
                <w:szCs w:val="24"/>
                <w:lang w:eastAsia="en-GB"/>
              </w:rPr>
              <w:t>. Основные гражданские свободы  на практике</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6</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B50D21"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Убийство или исчезновение профсоюзных активистов в связи с их профсоюзной деятельностью</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proofErr w:type="spellStart"/>
            <w:r w:rsidRPr="00852214">
              <w:rPr>
                <w:rFonts w:ascii="Times New Roman" w:hAnsi="Times New Roman" w:cs="Times New Roman"/>
                <w:color w:val="000000"/>
                <w:sz w:val="24"/>
                <w:szCs w:val="24"/>
                <w:lang w:eastAsia="en-GB"/>
              </w:rPr>
              <w:t>fhi</w:t>
            </w:r>
            <w:proofErr w:type="spellEnd"/>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2.00</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2.00</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9</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B50D21"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Других насильственных действий в отношении профсоюзных активистов в связи с их профсоюзной деятельностью</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proofErr w:type="spellStart"/>
            <w:r w:rsidRPr="00852214">
              <w:rPr>
                <w:rFonts w:ascii="Times New Roman" w:hAnsi="Times New Roman" w:cs="Times New Roman"/>
                <w:color w:val="000000"/>
                <w:sz w:val="24"/>
                <w:szCs w:val="24"/>
                <w:lang w:eastAsia="en-GB"/>
              </w:rPr>
              <w:t>fhi</w:t>
            </w:r>
            <w:proofErr w:type="spellEnd"/>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1.82</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1.82</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12</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B50D21"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Арест, содержание под стражей, тюремное заключение, обвинение и оговорка профсоюзных активистов в отношении их профсоюзной деятельности</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proofErr w:type="spellStart"/>
            <w:r w:rsidRPr="00852214">
              <w:rPr>
                <w:rFonts w:ascii="Times New Roman" w:hAnsi="Times New Roman" w:cs="Times New Roman"/>
                <w:color w:val="000000"/>
                <w:sz w:val="24"/>
                <w:szCs w:val="24"/>
                <w:lang w:eastAsia="en-GB"/>
              </w:rPr>
              <w:t>hi</w:t>
            </w:r>
            <w:proofErr w:type="spellEnd"/>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1.95</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1.95</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lastRenderedPageBreak/>
              <w:t> </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val="en-US" w:eastAsia="en-GB"/>
              </w:rPr>
              <w:t>IIa</w:t>
            </w:r>
            <w:proofErr w:type="spellEnd"/>
            <w:r w:rsidRPr="00852214">
              <w:rPr>
                <w:rFonts w:ascii="Times New Roman" w:hAnsi="Times New Roman" w:cs="Times New Roman"/>
                <w:b/>
                <w:bCs/>
                <w:sz w:val="24"/>
                <w:szCs w:val="24"/>
                <w:lang w:eastAsia="en-GB"/>
              </w:rPr>
              <w:t xml:space="preserve">. </w:t>
            </w:r>
            <w:r w:rsidR="00B50D21" w:rsidRPr="00852214">
              <w:rPr>
                <w:rFonts w:ascii="Times New Roman" w:hAnsi="Times New Roman" w:cs="Times New Roman"/>
                <w:b/>
                <w:bCs/>
                <w:sz w:val="24"/>
                <w:szCs w:val="24"/>
                <w:lang w:eastAsia="en-GB"/>
              </w:rPr>
              <w:t>Право трудящихся создавать юридические организации и вступать в них</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25</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B50D21"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Лишение других работников права создавать организации и вступать в них</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proofErr w:type="spellStart"/>
            <w:r w:rsidRPr="00852214">
              <w:rPr>
                <w:rFonts w:ascii="Times New Roman" w:hAnsi="Times New Roman" w:cs="Times New Roman"/>
                <w:color w:val="000000"/>
                <w:sz w:val="24"/>
                <w:szCs w:val="24"/>
                <w:lang w:eastAsia="en-GB"/>
              </w:rPr>
              <w:t>ahi</w:t>
            </w:r>
            <w:proofErr w:type="spellEnd"/>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1.86</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1.86</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31</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A705D5"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Отсутствие адекватных правовых гарантий против </w:t>
            </w:r>
            <w:proofErr w:type="spellStart"/>
            <w:r w:rsidRPr="00852214">
              <w:rPr>
                <w:rFonts w:ascii="Times New Roman" w:hAnsi="Times New Roman" w:cs="Times New Roman"/>
                <w:sz w:val="24"/>
                <w:szCs w:val="24"/>
                <w:lang w:eastAsia="en-GB"/>
              </w:rPr>
              <w:t>антисоюзных</w:t>
            </w:r>
            <w:proofErr w:type="spellEnd"/>
            <w:r w:rsidRPr="00852214">
              <w:rPr>
                <w:rFonts w:ascii="Times New Roman" w:hAnsi="Times New Roman" w:cs="Times New Roman"/>
                <w:sz w:val="24"/>
                <w:szCs w:val="24"/>
                <w:lang w:eastAsia="en-GB"/>
              </w:rPr>
              <w:t xml:space="preserve"> дискриминационных мер</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a</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1.75</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1.75</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34</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A705D5"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права создавать и вступать в федерации/конфедерации/международные организации</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proofErr w:type="spellStart"/>
            <w:r w:rsidRPr="00852214">
              <w:rPr>
                <w:rFonts w:ascii="Times New Roman" w:hAnsi="Times New Roman" w:cs="Times New Roman"/>
                <w:color w:val="000000"/>
                <w:sz w:val="24"/>
                <w:szCs w:val="24"/>
                <w:lang w:eastAsia="en-GB"/>
              </w:rPr>
              <w:t>abhi</w:t>
            </w:r>
            <w:proofErr w:type="spellEnd"/>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1.73</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1.73</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val="en-US" w:eastAsia="en-GB"/>
              </w:rPr>
              <w:t>IIb</w:t>
            </w:r>
            <w:proofErr w:type="spellEnd"/>
            <w:r w:rsidRPr="00852214">
              <w:rPr>
                <w:rFonts w:ascii="Times New Roman" w:hAnsi="Times New Roman" w:cs="Times New Roman"/>
                <w:b/>
                <w:bCs/>
                <w:sz w:val="24"/>
                <w:szCs w:val="24"/>
                <w:lang w:eastAsia="en-GB"/>
              </w:rPr>
              <w:t xml:space="preserve">. </w:t>
            </w:r>
            <w:r w:rsidR="00A705D5" w:rsidRPr="00852214">
              <w:rPr>
                <w:rFonts w:ascii="Times New Roman" w:hAnsi="Times New Roman" w:cs="Times New Roman"/>
                <w:b/>
                <w:bCs/>
                <w:sz w:val="24"/>
                <w:szCs w:val="24"/>
                <w:lang w:eastAsia="en-GB"/>
              </w:rPr>
              <w:t>Право трудящихся создавать юридические организации и вступать в них на практике</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39</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A705D5"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Предыдущие требования к авторизации</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proofErr w:type="spellStart"/>
            <w:r w:rsidRPr="00852214">
              <w:rPr>
                <w:rFonts w:ascii="Times New Roman" w:hAnsi="Times New Roman" w:cs="Times New Roman"/>
                <w:color w:val="000000"/>
                <w:sz w:val="24"/>
                <w:szCs w:val="24"/>
                <w:lang w:eastAsia="en-GB"/>
              </w:rPr>
              <w:t>fhi</w:t>
            </w:r>
            <w:proofErr w:type="spellEnd"/>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1.70</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1.70</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44</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A705D5" w:rsidP="00852214">
            <w:pPr>
              <w:spacing w:before="100" w:beforeAutospacing="1" w:after="100" w:afterAutospacing="1" w:line="276" w:lineRule="auto"/>
              <w:jc w:val="both"/>
              <w:rPr>
                <w:rFonts w:ascii="Times New Roman" w:hAnsi="Times New Roman" w:cs="Times New Roman"/>
                <w:sz w:val="24"/>
                <w:szCs w:val="24"/>
                <w:lang w:val="en-US" w:eastAsia="en-GB"/>
              </w:rPr>
            </w:pPr>
            <w:proofErr w:type="spellStart"/>
            <w:r w:rsidRPr="00852214">
              <w:rPr>
                <w:rFonts w:ascii="Times New Roman" w:hAnsi="Times New Roman" w:cs="Times New Roman"/>
                <w:sz w:val="24"/>
                <w:szCs w:val="24"/>
                <w:lang w:val="en-US" w:eastAsia="en-GB"/>
              </w:rPr>
              <w:t>Нарушение</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прав</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профсоюзов</w:t>
            </w:r>
            <w:proofErr w:type="spellEnd"/>
            <w:r w:rsidRPr="00852214">
              <w:rPr>
                <w:rFonts w:ascii="Times New Roman" w:hAnsi="Times New Roman" w:cs="Times New Roman"/>
                <w:sz w:val="24"/>
                <w:szCs w:val="24"/>
                <w:lang w:val="en-US" w:eastAsia="en-GB"/>
              </w:rPr>
              <w:t xml:space="preserve"> </w:t>
            </w:r>
            <w:r w:rsidR="00677767" w:rsidRPr="00852214">
              <w:rPr>
                <w:rFonts w:ascii="Times New Roman" w:hAnsi="Times New Roman" w:cs="Times New Roman"/>
                <w:sz w:val="24"/>
                <w:szCs w:val="24"/>
                <w:lang w:val="en-US" w:eastAsia="en-GB"/>
              </w:rPr>
              <w:t>no. 43</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val="en-US"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proofErr w:type="spellStart"/>
            <w:r w:rsidRPr="00852214">
              <w:rPr>
                <w:rFonts w:ascii="Times New Roman" w:hAnsi="Times New Roman" w:cs="Times New Roman"/>
                <w:color w:val="000000"/>
                <w:sz w:val="24"/>
                <w:szCs w:val="24"/>
                <w:lang w:eastAsia="en-GB"/>
              </w:rPr>
              <w:t>hi</w:t>
            </w:r>
            <w:proofErr w:type="spellEnd"/>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1.89</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1.89</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45</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A705D5"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rPr>
              <w:t xml:space="preserve">Отсутствие гарантии надлежащего судебного разбирательства и/или нарушения справедливости </w:t>
            </w:r>
            <w:r w:rsidR="00677767" w:rsidRPr="00852214">
              <w:rPr>
                <w:rFonts w:ascii="Times New Roman" w:hAnsi="Times New Roman" w:cs="Times New Roman"/>
                <w:sz w:val="24"/>
                <w:szCs w:val="24"/>
                <w:lang w:val="en-US" w:eastAsia="en-GB"/>
              </w:rPr>
              <w:t>no</w:t>
            </w:r>
            <w:r w:rsidR="00677767" w:rsidRPr="00852214">
              <w:rPr>
                <w:rFonts w:ascii="Times New Roman" w:hAnsi="Times New Roman" w:cs="Times New Roman"/>
                <w:sz w:val="24"/>
                <w:szCs w:val="24"/>
                <w:lang w:eastAsia="en-GB"/>
              </w:rPr>
              <w:t>. 43</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proofErr w:type="spellStart"/>
            <w:r w:rsidRPr="00852214">
              <w:rPr>
                <w:rFonts w:ascii="Times New Roman" w:hAnsi="Times New Roman" w:cs="Times New Roman"/>
                <w:color w:val="000000"/>
                <w:sz w:val="24"/>
                <w:szCs w:val="24"/>
                <w:lang w:eastAsia="en-GB"/>
              </w:rPr>
              <w:t>hi</w:t>
            </w:r>
            <w:proofErr w:type="spellEnd"/>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1.80</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1.80</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val="en-US" w:eastAsia="en-GB"/>
              </w:rPr>
              <w:t>IIIa</w:t>
            </w:r>
            <w:proofErr w:type="spellEnd"/>
            <w:r w:rsidRPr="00852214">
              <w:rPr>
                <w:rFonts w:ascii="Times New Roman" w:hAnsi="Times New Roman" w:cs="Times New Roman"/>
                <w:b/>
                <w:bCs/>
                <w:sz w:val="24"/>
                <w:szCs w:val="24"/>
                <w:lang w:eastAsia="en-GB"/>
              </w:rPr>
              <w:t xml:space="preserve">. </w:t>
            </w:r>
            <w:r w:rsidR="00A705D5" w:rsidRPr="00852214">
              <w:rPr>
                <w:rFonts w:ascii="Times New Roman" w:hAnsi="Times New Roman" w:cs="Times New Roman"/>
                <w:b/>
                <w:bCs/>
                <w:sz w:val="24"/>
                <w:szCs w:val="24"/>
                <w:lang w:eastAsia="en-GB"/>
              </w:rPr>
              <w:t>Другие виды деятельности профсоюза в области права</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51</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A705D5"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права свободно избирать представителей</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proofErr w:type="spellStart"/>
            <w:r w:rsidRPr="00852214">
              <w:rPr>
                <w:rFonts w:ascii="Times New Roman" w:hAnsi="Times New Roman" w:cs="Times New Roman"/>
                <w:color w:val="000000"/>
                <w:sz w:val="24"/>
                <w:szCs w:val="24"/>
                <w:lang w:eastAsia="en-GB"/>
              </w:rPr>
              <w:t>ah</w:t>
            </w:r>
            <w:proofErr w:type="spellEnd"/>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1.80</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1.80</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52</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A705D5"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права свободно организовывать и контролировать финансовое управление</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proofErr w:type="spellStart"/>
            <w:r w:rsidRPr="00852214">
              <w:rPr>
                <w:rFonts w:ascii="Times New Roman" w:hAnsi="Times New Roman" w:cs="Times New Roman"/>
                <w:color w:val="000000"/>
                <w:sz w:val="24"/>
                <w:szCs w:val="24"/>
                <w:lang w:eastAsia="en-GB"/>
              </w:rPr>
              <w:t>ahi</w:t>
            </w:r>
            <w:proofErr w:type="spellEnd"/>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1.59</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1.59</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54</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A705D5" w:rsidP="00852214">
            <w:pPr>
              <w:spacing w:before="100" w:beforeAutospacing="1" w:after="100" w:afterAutospacing="1" w:line="276" w:lineRule="auto"/>
              <w:jc w:val="both"/>
              <w:rPr>
                <w:rFonts w:ascii="Times New Roman" w:hAnsi="Times New Roman" w:cs="Times New Roman"/>
                <w:sz w:val="24"/>
                <w:szCs w:val="24"/>
                <w:lang w:val="en-US" w:eastAsia="en-GB"/>
              </w:rPr>
            </w:pPr>
            <w:proofErr w:type="spellStart"/>
            <w:r w:rsidRPr="00852214">
              <w:rPr>
                <w:rFonts w:ascii="Times New Roman" w:hAnsi="Times New Roman" w:cs="Times New Roman"/>
                <w:sz w:val="24"/>
                <w:szCs w:val="24"/>
                <w:lang w:val="en-US" w:eastAsia="en-GB"/>
              </w:rPr>
              <w:t>Запрет</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всей</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политической</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деятельности</w:t>
            </w:r>
            <w:proofErr w:type="spellEnd"/>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val="en-US"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proofErr w:type="spellStart"/>
            <w:r w:rsidRPr="00852214">
              <w:rPr>
                <w:rFonts w:ascii="Times New Roman" w:hAnsi="Times New Roman" w:cs="Times New Roman"/>
                <w:color w:val="000000"/>
                <w:sz w:val="24"/>
                <w:szCs w:val="24"/>
                <w:lang w:eastAsia="en-GB"/>
              </w:rPr>
              <w:t>ahi</w:t>
            </w:r>
            <w:proofErr w:type="spellEnd"/>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1.73</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1.73</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val="en-US" w:eastAsia="en-GB"/>
              </w:rPr>
              <w:t>IIIb</w:t>
            </w:r>
            <w:proofErr w:type="spellEnd"/>
            <w:r w:rsidRPr="00852214">
              <w:rPr>
                <w:rFonts w:ascii="Times New Roman" w:hAnsi="Times New Roman" w:cs="Times New Roman"/>
                <w:b/>
                <w:bCs/>
                <w:sz w:val="24"/>
                <w:szCs w:val="24"/>
                <w:lang w:eastAsia="en-GB"/>
              </w:rPr>
              <w:t xml:space="preserve">. </w:t>
            </w:r>
            <w:r w:rsidR="00A705D5" w:rsidRPr="00852214">
              <w:rPr>
                <w:rFonts w:ascii="Times New Roman" w:hAnsi="Times New Roman" w:cs="Times New Roman"/>
                <w:b/>
                <w:bCs/>
                <w:sz w:val="24"/>
                <w:szCs w:val="24"/>
                <w:lang w:eastAsia="en-GB"/>
              </w:rPr>
              <w:t>Другие виды деятельности профсоюза на практике</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58</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DC5E8C"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Нарушения права свободно организовывать и контролировать финансовое управление</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proofErr w:type="spellStart"/>
            <w:r w:rsidRPr="00852214">
              <w:rPr>
                <w:rFonts w:ascii="Times New Roman" w:hAnsi="Times New Roman" w:cs="Times New Roman"/>
                <w:color w:val="000000"/>
                <w:sz w:val="24"/>
                <w:szCs w:val="24"/>
                <w:lang w:eastAsia="en-GB"/>
              </w:rPr>
              <w:t>fhi</w:t>
            </w:r>
            <w:proofErr w:type="spellEnd"/>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1.71</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1.71</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61</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A705D5"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rPr>
              <w:t xml:space="preserve">Отсутствие гарантии надлежащего судебного разбирательства и/или нарушения справедливости </w:t>
            </w:r>
            <w:proofErr w:type="spellStart"/>
            <w:r w:rsidR="00677767" w:rsidRPr="00852214">
              <w:rPr>
                <w:rFonts w:ascii="Times New Roman" w:hAnsi="Times New Roman" w:cs="Times New Roman"/>
                <w:sz w:val="24"/>
                <w:szCs w:val="24"/>
                <w:lang w:val="en-US" w:eastAsia="en-GB"/>
              </w:rPr>
              <w:t>nos</w:t>
            </w:r>
            <w:proofErr w:type="spellEnd"/>
            <w:r w:rsidR="00677767" w:rsidRPr="00852214">
              <w:rPr>
                <w:rFonts w:ascii="Times New Roman" w:hAnsi="Times New Roman" w:cs="Times New Roman"/>
                <w:sz w:val="24"/>
                <w:szCs w:val="24"/>
                <w:lang w:eastAsia="en-GB"/>
              </w:rPr>
              <w:t>. 56-60</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f</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1.79</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1.79</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val="en-US" w:eastAsia="en-GB"/>
              </w:rPr>
              <w:t>IVa</w:t>
            </w:r>
            <w:proofErr w:type="spellEnd"/>
            <w:r w:rsidRPr="00852214">
              <w:rPr>
                <w:rFonts w:ascii="Times New Roman" w:hAnsi="Times New Roman" w:cs="Times New Roman"/>
                <w:b/>
                <w:bCs/>
                <w:sz w:val="24"/>
                <w:szCs w:val="24"/>
                <w:lang w:eastAsia="en-GB"/>
              </w:rPr>
              <w:t xml:space="preserve">. </w:t>
            </w:r>
            <w:r w:rsidR="00DC5E8C" w:rsidRPr="00852214">
              <w:rPr>
                <w:rFonts w:ascii="Times New Roman" w:hAnsi="Times New Roman" w:cs="Times New Roman"/>
                <w:b/>
                <w:bCs/>
                <w:sz w:val="24"/>
                <w:szCs w:val="24"/>
                <w:lang w:eastAsia="en-GB"/>
              </w:rPr>
              <w:t>Право на ведение коллективных переговоров</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69</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DC5E8C"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Акты вмешательства в коллективные переговоры</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a</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1.66</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1.66</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76</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DC5E8C"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Исключение других работников от права на ведение коллективных переговоров</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proofErr w:type="spellStart"/>
            <w:r w:rsidRPr="00852214">
              <w:rPr>
                <w:rFonts w:ascii="Times New Roman" w:hAnsi="Times New Roman" w:cs="Times New Roman"/>
                <w:color w:val="000000"/>
                <w:sz w:val="24"/>
                <w:szCs w:val="24"/>
                <w:lang w:eastAsia="en-GB"/>
              </w:rPr>
              <w:t>abhi</w:t>
            </w:r>
            <w:proofErr w:type="spellEnd"/>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1.84</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1.84</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80</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DC5E8C"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Акты вмешательства в коллективные переговоры</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proofErr w:type="spellStart"/>
            <w:r w:rsidRPr="00852214">
              <w:rPr>
                <w:rFonts w:ascii="Times New Roman" w:hAnsi="Times New Roman" w:cs="Times New Roman"/>
                <w:color w:val="000000"/>
                <w:sz w:val="24"/>
                <w:szCs w:val="24"/>
                <w:lang w:eastAsia="en-GB"/>
              </w:rPr>
              <w:t>hi</w:t>
            </w:r>
            <w:proofErr w:type="spellEnd"/>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1.64</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1.64</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sz w:val="24"/>
                <w:szCs w:val="24"/>
                <w:lang w:val="en-US" w:eastAsia="en-GB"/>
              </w:rPr>
            </w:pPr>
            <w:r w:rsidRPr="00852214">
              <w:rPr>
                <w:rFonts w:ascii="Times New Roman" w:hAnsi="Times New Roman" w:cs="Times New Roman"/>
                <w:b/>
                <w:bCs/>
                <w:sz w:val="24"/>
                <w:szCs w:val="24"/>
                <w:lang w:val="en-US" w:eastAsia="en-GB"/>
              </w:rPr>
              <w:t xml:space="preserve">Va. </w:t>
            </w:r>
            <w:proofErr w:type="spellStart"/>
            <w:r w:rsidR="00DC5E8C" w:rsidRPr="00852214">
              <w:rPr>
                <w:rFonts w:ascii="Times New Roman" w:hAnsi="Times New Roman" w:cs="Times New Roman"/>
                <w:b/>
                <w:bCs/>
                <w:sz w:val="24"/>
                <w:szCs w:val="24"/>
                <w:lang w:val="en-US" w:eastAsia="en-GB"/>
              </w:rPr>
              <w:t>Право</w:t>
            </w:r>
            <w:proofErr w:type="spellEnd"/>
            <w:r w:rsidR="00DC5E8C" w:rsidRPr="00852214">
              <w:rPr>
                <w:rFonts w:ascii="Times New Roman" w:hAnsi="Times New Roman" w:cs="Times New Roman"/>
                <w:b/>
                <w:bCs/>
                <w:sz w:val="24"/>
                <w:szCs w:val="24"/>
                <w:lang w:val="en-US" w:eastAsia="en-GB"/>
              </w:rPr>
              <w:t xml:space="preserve"> </w:t>
            </w:r>
            <w:proofErr w:type="spellStart"/>
            <w:r w:rsidR="00DC5E8C" w:rsidRPr="00852214">
              <w:rPr>
                <w:rFonts w:ascii="Times New Roman" w:hAnsi="Times New Roman" w:cs="Times New Roman"/>
                <w:b/>
                <w:bCs/>
                <w:sz w:val="24"/>
                <w:szCs w:val="24"/>
                <w:lang w:val="en-US" w:eastAsia="en-GB"/>
              </w:rPr>
              <w:t>на</w:t>
            </w:r>
            <w:proofErr w:type="spellEnd"/>
            <w:r w:rsidR="00DC5E8C" w:rsidRPr="00852214">
              <w:rPr>
                <w:rFonts w:ascii="Times New Roman" w:hAnsi="Times New Roman" w:cs="Times New Roman"/>
                <w:b/>
                <w:bCs/>
                <w:sz w:val="24"/>
                <w:szCs w:val="24"/>
                <w:lang w:val="en-US" w:eastAsia="en-GB"/>
              </w:rPr>
              <w:t xml:space="preserve"> </w:t>
            </w:r>
            <w:proofErr w:type="spellStart"/>
            <w:r w:rsidR="00DC5E8C" w:rsidRPr="00852214">
              <w:rPr>
                <w:rFonts w:ascii="Times New Roman" w:hAnsi="Times New Roman" w:cs="Times New Roman"/>
                <w:b/>
                <w:bCs/>
                <w:sz w:val="24"/>
                <w:szCs w:val="24"/>
                <w:lang w:val="en-US" w:eastAsia="en-GB"/>
              </w:rPr>
              <w:t>забастовку</w:t>
            </w:r>
            <w:proofErr w:type="spellEnd"/>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sz w:val="24"/>
                <w:szCs w:val="24"/>
                <w:lang w:val="en-US" w:eastAsia="en-GB"/>
              </w:rPr>
            </w:pPr>
            <w:r w:rsidRPr="00852214">
              <w:rPr>
                <w:rFonts w:ascii="Times New Roman" w:hAnsi="Times New Roman" w:cs="Times New Roman"/>
                <w:b/>
                <w:bCs/>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val="en-US" w:eastAsia="en-GB"/>
              </w:rPr>
            </w:pPr>
            <w:r w:rsidRPr="00852214">
              <w:rPr>
                <w:rFonts w:ascii="Times New Roman" w:hAnsi="Times New Roman" w:cs="Times New Roman"/>
                <w:color w:val="000000"/>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val="en-US" w:eastAsia="en-GB"/>
              </w:rPr>
            </w:pPr>
            <w:r w:rsidRPr="00852214">
              <w:rPr>
                <w:rFonts w:ascii="Times New Roman" w:hAnsi="Times New Roman" w:cs="Times New Roman"/>
                <w:color w:val="000000"/>
                <w:sz w:val="24"/>
                <w:szCs w:val="24"/>
                <w:lang w:val="en-US" w:eastAsia="en-GB"/>
              </w:rPr>
              <w:t> </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val="en-US" w:eastAsia="en-GB"/>
              </w:rPr>
            </w:pPr>
            <w:r w:rsidRPr="00852214">
              <w:rPr>
                <w:rFonts w:ascii="Times New Roman" w:hAnsi="Times New Roman" w:cs="Times New Roman"/>
                <w:color w:val="000000"/>
                <w:sz w:val="24"/>
                <w:szCs w:val="24"/>
                <w:lang w:val="en-US" w:eastAsia="en-GB"/>
              </w:rPr>
              <w:t> </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val="en-US" w:eastAsia="en-GB"/>
              </w:rPr>
            </w:pPr>
            <w:r w:rsidRPr="00852214">
              <w:rPr>
                <w:rFonts w:ascii="Times New Roman" w:hAnsi="Times New Roman" w:cs="Times New Roman"/>
                <w:color w:val="000000"/>
                <w:sz w:val="24"/>
                <w:szCs w:val="24"/>
                <w:lang w:val="en-US" w:eastAsia="en-GB"/>
              </w:rPr>
              <w:t> </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87</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DC5E8C"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Исключение/ограничение в зависимости от цели и/или вида забастовки</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proofErr w:type="spellStart"/>
            <w:r w:rsidRPr="00852214">
              <w:rPr>
                <w:rFonts w:ascii="Times New Roman" w:hAnsi="Times New Roman" w:cs="Times New Roman"/>
                <w:color w:val="000000"/>
                <w:sz w:val="24"/>
                <w:szCs w:val="24"/>
                <w:lang w:eastAsia="en-GB"/>
              </w:rPr>
              <w:t>af</w:t>
            </w:r>
            <w:proofErr w:type="spellEnd"/>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1.46</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1.46</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88</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DC5E8C"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xml:space="preserve">Положения законодательства, допускающие приостановление и/или объявление </w:t>
            </w:r>
            <w:proofErr w:type="gramStart"/>
            <w:r w:rsidRPr="00852214">
              <w:rPr>
                <w:rFonts w:ascii="Times New Roman" w:hAnsi="Times New Roman" w:cs="Times New Roman"/>
                <w:sz w:val="24"/>
                <w:szCs w:val="24"/>
                <w:lang w:eastAsia="en-GB"/>
              </w:rPr>
              <w:lastRenderedPageBreak/>
              <w:t>незаконными</w:t>
            </w:r>
            <w:proofErr w:type="gramEnd"/>
            <w:r w:rsidRPr="00852214">
              <w:rPr>
                <w:rFonts w:ascii="Times New Roman" w:hAnsi="Times New Roman" w:cs="Times New Roman"/>
                <w:sz w:val="24"/>
                <w:szCs w:val="24"/>
                <w:lang w:eastAsia="en-GB"/>
              </w:rPr>
              <w:t xml:space="preserve"> забастовок административным органом</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lastRenderedPageBreak/>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proofErr w:type="spellStart"/>
            <w:r w:rsidRPr="00852214">
              <w:rPr>
                <w:rFonts w:ascii="Times New Roman" w:hAnsi="Times New Roman" w:cs="Times New Roman"/>
                <w:color w:val="000000"/>
                <w:sz w:val="24"/>
                <w:szCs w:val="24"/>
                <w:lang w:eastAsia="en-GB"/>
              </w:rPr>
              <w:t>ahi</w:t>
            </w:r>
            <w:proofErr w:type="spellEnd"/>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1.59</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1.59</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lastRenderedPageBreak/>
              <w:t>94</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DC5E8C"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Введение чрезмерных санкций в случае законных забастовок</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proofErr w:type="spellStart"/>
            <w:r w:rsidRPr="00852214">
              <w:rPr>
                <w:rFonts w:ascii="Times New Roman" w:hAnsi="Times New Roman" w:cs="Times New Roman"/>
                <w:color w:val="000000"/>
                <w:sz w:val="24"/>
                <w:szCs w:val="24"/>
                <w:lang w:eastAsia="en-GB"/>
              </w:rPr>
              <w:t>afhi</w:t>
            </w:r>
            <w:proofErr w:type="spellEnd"/>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1.82</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1.82</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 </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sz w:val="24"/>
                <w:szCs w:val="24"/>
                <w:lang w:eastAsia="en-GB"/>
              </w:rPr>
            </w:pPr>
            <w:proofErr w:type="spellStart"/>
            <w:r w:rsidRPr="00852214">
              <w:rPr>
                <w:rFonts w:ascii="Times New Roman" w:hAnsi="Times New Roman" w:cs="Times New Roman"/>
                <w:b/>
                <w:bCs/>
                <w:sz w:val="24"/>
                <w:szCs w:val="24"/>
                <w:lang w:val="en-US" w:eastAsia="en-GB"/>
              </w:rPr>
              <w:t>Vb</w:t>
            </w:r>
            <w:proofErr w:type="spellEnd"/>
            <w:r w:rsidRPr="00852214">
              <w:rPr>
                <w:rFonts w:ascii="Times New Roman" w:hAnsi="Times New Roman" w:cs="Times New Roman"/>
                <w:b/>
                <w:bCs/>
                <w:sz w:val="24"/>
                <w:szCs w:val="24"/>
                <w:lang w:eastAsia="en-GB"/>
              </w:rPr>
              <w:t xml:space="preserve">. </w:t>
            </w:r>
            <w:r w:rsidR="00DC5E8C" w:rsidRPr="00852214">
              <w:rPr>
                <w:rFonts w:ascii="Times New Roman" w:hAnsi="Times New Roman" w:cs="Times New Roman"/>
                <w:b/>
                <w:bCs/>
                <w:sz w:val="24"/>
                <w:szCs w:val="24"/>
                <w:lang w:eastAsia="en-GB"/>
              </w:rPr>
              <w:t>Право на забастовку на практике</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105</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DC5E8C"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Акты вмешательства во время действия забастовки</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proofErr w:type="spellStart"/>
            <w:r w:rsidRPr="00852214">
              <w:rPr>
                <w:rFonts w:ascii="Times New Roman" w:hAnsi="Times New Roman" w:cs="Times New Roman"/>
                <w:color w:val="000000"/>
                <w:sz w:val="24"/>
                <w:szCs w:val="24"/>
                <w:lang w:eastAsia="en-GB"/>
              </w:rPr>
              <w:t>hi</w:t>
            </w:r>
            <w:proofErr w:type="spellEnd"/>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1.64</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1.64</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107</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A705D5" w:rsidP="00852214">
            <w:pPr>
              <w:spacing w:before="100" w:beforeAutospacing="1" w:after="100" w:afterAutospacing="1" w:line="276" w:lineRule="auto"/>
              <w:jc w:val="both"/>
              <w:rPr>
                <w:rFonts w:ascii="Times New Roman" w:hAnsi="Times New Roman" w:cs="Times New Roman"/>
                <w:sz w:val="24"/>
                <w:szCs w:val="24"/>
                <w:lang w:val="en-US" w:eastAsia="en-GB"/>
              </w:rPr>
            </w:pPr>
            <w:proofErr w:type="spellStart"/>
            <w:r w:rsidRPr="00852214">
              <w:rPr>
                <w:rFonts w:ascii="Times New Roman" w:hAnsi="Times New Roman" w:cs="Times New Roman"/>
                <w:sz w:val="24"/>
                <w:szCs w:val="24"/>
                <w:lang w:val="en-US" w:eastAsia="en-GB"/>
              </w:rPr>
              <w:t>Нарушение</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прав</w:t>
            </w:r>
            <w:proofErr w:type="spellEnd"/>
            <w:r w:rsidRPr="00852214">
              <w:rPr>
                <w:rFonts w:ascii="Times New Roman" w:hAnsi="Times New Roman" w:cs="Times New Roman"/>
                <w:sz w:val="24"/>
                <w:szCs w:val="24"/>
                <w:lang w:val="en-US" w:eastAsia="en-GB"/>
              </w:rPr>
              <w:t xml:space="preserve"> </w:t>
            </w:r>
            <w:proofErr w:type="spellStart"/>
            <w:r w:rsidRPr="00852214">
              <w:rPr>
                <w:rFonts w:ascii="Times New Roman" w:hAnsi="Times New Roman" w:cs="Times New Roman"/>
                <w:sz w:val="24"/>
                <w:szCs w:val="24"/>
                <w:lang w:val="en-US" w:eastAsia="en-GB"/>
              </w:rPr>
              <w:t>профсоюзов</w:t>
            </w:r>
            <w:proofErr w:type="spellEnd"/>
            <w:r w:rsidRPr="00852214">
              <w:rPr>
                <w:rFonts w:ascii="Times New Roman" w:hAnsi="Times New Roman" w:cs="Times New Roman"/>
                <w:sz w:val="24"/>
                <w:szCs w:val="24"/>
                <w:lang w:val="en-US" w:eastAsia="en-GB"/>
              </w:rPr>
              <w:t xml:space="preserve"> </w:t>
            </w:r>
            <w:r w:rsidR="00677767" w:rsidRPr="00852214">
              <w:rPr>
                <w:rFonts w:ascii="Times New Roman" w:hAnsi="Times New Roman" w:cs="Times New Roman"/>
                <w:sz w:val="24"/>
                <w:szCs w:val="24"/>
                <w:lang w:val="en-US" w:eastAsia="en-GB"/>
              </w:rPr>
              <w:t>no. 106</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val="en-US"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h</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1.80</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1.80</w:t>
            </w:r>
          </w:p>
        </w:tc>
      </w:tr>
      <w:tr w:rsidR="00677767" w:rsidRPr="00852214" w:rsidTr="00677767">
        <w:trPr>
          <w:trHeight w:val="255"/>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eastAsia="en-GB"/>
              </w:rPr>
              <w:t>108</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A705D5"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rPr>
              <w:t xml:space="preserve">Отсутствие гарантии надлежащего судебного разбирательства и/или нарушения справедливости </w:t>
            </w:r>
            <w:proofErr w:type="spellStart"/>
            <w:r w:rsidR="00677767" w:rsidRPr="00852214">
              <w:rPr>
                <w:rFonts w:ascii="Times New Roman" w:hAnsi="Times New Roman" w:cs="Times New Roman"/>
                <w:sz w:val="24"/>
                <w:szCs w:val="24"/>
                <w:lang w:val="en-US" w:eastAsia="en-GB"/>
              </w:rPr>
              <w:t>nos</w:t>
            </w:r>
            <w:proofErr w:type="spellEnd"/>
            <w:r w:rsidR="00677767" w:rsidRPr="00852214">
              <w:rPr>
                <w:rFonts w:ascii="Times New Roman" w:hAnsi="Times New Roman" w:cs="Times New Roman"/>
                <w:sz w:val="24"/>
                <w:szCs w:val="24"/>
                <w:lang w:eastAsia="en-GB"/>
              </w:rPr>
              <w:t>. 96-107</w:t>
            </w:r>
          </w:p>
        </w:tc>
        <w:tc>
          <w:tcPr>
            <w:tcW w:w="280" w:type="dxa"/>
            <w:tcBorders>
              <w:top w:val="single" w:sz="4" w:space="0" w:color="auto"/>
              <w:left w:val="nil"/>
              <w:bottom w:val="single" w:sz="4" w:space="0" w:color="auto"/>
              <w:right w:val="nil"/>
            </w:tcBorders>
            <w:shd w:val="clear" w:color="000000" w:fill="FFFFFF"/>
            <w:hideMark/>
          </w:tcPr>
          <w:p w:rsidR="00677767" w:rsidRPr="00852214" w:rsidRDefault="00677767" w:rsidP="00852214">
            <w:pPr>
              <w:spacing w:before="100" w:beforeAutospacing="1" w:after="100" w:afterAutospacing="1" w:line="276" w:lineRule="auto"/>
              <w:jc w:val="both"/>
              <w:rPr>
                <w:rFonts w:ascii="Times New Roman" w:hAnsi="Times New Roman" w:cs="Times New Roman"/>
                <w:sz w:val="24"/>
                <w:szCs w:val="24"/>
                <w:lang w:eastAsia="en-GB"/>
              </w:rPr>
            </w:pPr>
            <w:r w:rsidRPr="00852214">
              <w:rPr>
                <w:rFonts w:ascii="Times New Roman" w:hAnsi="Times New Roman" w:cs="Times New Roman"/>
                <w:sz w:val="24"/>
                <w:szCs w:val="24"/>
                <w:lang w:val="en-US"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h</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1.77</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1.77</w:t>
            </w:r>
          </w:p>
        </w:tc>
      </w:tr>
      <w:tr w:rsidR="00677767" w:rsidRPr="00852214" w:rsidTr="00677767">
        <w:trPr>
          <w:trHeight w:val="300"/>
        </w:trPr>
        <w:tc>
          <w:tcPr>
            <w:tcW w:w="536" w:type="dxa"/>
            <w:tcBorders>
              <w:top w:val="nil"/>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135" w:type="dxa"/>
            <w:tcBorders>
              <w:top w:val="nil"/>
              <w:left w:val="nil"/>
              <w:bottom w:val="single" w:sz="4" w:space="0" w:color="auto"/>
              <w:right w:val="nil"/>
            </w:tcBorders>
            <w:shd w:val="clear" w:color="000000" w:fill="FFFFFF"/>
            <w:hideMark/>
          </w:tcPr>
          <w:p w:rsidR="00677767" w:rsidRPr="00852214" w:rsidRDefault="00DC5E8C"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eastAsia="en-GB"/>
              </w:rPr>
              <w:t>Сумма (ненормированная оценка)</w:t>
            </w:r>
          </w:p>
        </w:tc>
        <w:tc>
          <w:tcPr>
            <w:tcW w:w="280" w:type="dxa"/>
            <w:tcBorders>
              <w:top w:val="nil"/>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1445" w:type="dxa"/>
            <w:tcBorders>
              <w:top w:val="nil"/>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1445" w:type="dxa"/>
            <w:tcBorders>
              <w:top w:val="nil"/>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24</w:t>
            </w:r>
          </w:p>
        </w:tc>
        <w:tc>
          <w:tcPr>
            <w:tcW w:w="1035" w:type="dxa"/>
            <w:tcBorders>
              <w:top w:val="nil"/>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1066" w:type="dxa"/>
            <w:tcBorders>
              <w:top w:val="nil"/>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42.29</w:t>
            </w:r>
          </w:p>
        </w:tc>
      </w:tr>
      <w:tr w:rsidR="00677767" w:rsidRPr="00852214" w:rsidTr="00677767">
        <w:trPr>
          <w:trHeight w:val="360"/>
        </w:trPr>
        <w:tc>
          <w:tcPr>
            <w:tcW w:w="53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135" w:type="dxa"/>
            <w:tcBorders>
              <w:top w:val="single" w:sz="4" w:space="0" w:color="auto"/>
              <w:left w:val="nil"/>
              <w:bottom w:val="single" w:sz="4" w:space="0" w:color="auto"/>
              <w:right w:val="nil"/>
            </w:tcBorders>
            <w:shd w:val="clear" w:color="000000" w:fill="FFFFFF"/>
            <w:hideMark/>
          </w:tcPr>
          <w:p w:rsidR="00677767" w:rsidRPr="00852214" w:rsidRDefault="00DC5E8C" w:rsidP="00852214">
            <w:pPr>
              <w:spacing w:before="100" w:beforeAutospacing="1" w:after="100" w:afterAutospacing="1" w:line="276" w:lineRule="auto"/>
              <w:jc w:val="both"/>
              <w:rPr>
                <w:rFonts w:ascii="Times New Roman" w:hAnsi="Times New Roman" w:cs="Times New Roman"/>
                <w:b/>
                <w:bCs/>
                <w:sz w:val="24"/>
                <w:szCs w:val="24"/>
                <w:lang w:eastAsia="en-GB"/>
              </w:rPr>
            </w:pPr>
            <w:r w:rsidRPr="00852214">
              <w:rPr>
                <w:rFonts w:ascii="Times New Roman" w:hAnsi="Times New Roman" w:cs="Times New Roman"/>
                <w:b/>
                <w:bCs/>
                <w:sz w:val="24"/>
                <w:szCs w:val="24"/>
                <w:lang w:eastAsia="en-GB"/>
              </w:rPr>
              <w:t>Нормализованный балл (0 = лучший, 10 = худший)</w:t>
            </w:r>
            <w:r w:rsidR="00677767" w:rsidRPr="00852214">
              <w:rPr>
                <w:rFonts w:ascii="Times New Roman" w:hAnsi="Times New Roman" w:cs="Times New Roman"/>
                <w:b/>
                <w:bCs/>
                <w:sz w:val="24"/>
                <w:szCs w:val="24"/>
                <w:vertAlign w:val="superscript"/>
                <w:lang w:eastAsia="en-GB"/>
              </w:rPr>
              <w:t>1</w:t>
            </w:r>
          </w:p>
        </w:tc>
        <w:tc>
          <w:tcPr>
            <w:tcW w:w="280"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144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1035"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1066" w:type="dxa"/>
            <w:tcBorders>
              <w:top w:val="single" w:sz="4" w:space="0" w:color="auto"/>
              <w:left w:val="nil"/>
              <w:bottom w:val="single" w:sz="4" w:space="0" w:color="auto"/>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b/>
                <w:bCs/>
                <w:color w:val="000000"/>
                <w:sz w:val="24"/>
                <w:szCs w:val="24"/>
                <w:lang w:eastAsia="en-GB"/>
              </w:rPr>
            </w:pPr>
            <w:r w:rsidRPr="00852214">
              <w:rPr>
                <w:rFonts w:ascii="Times New Roman" w:hAnsi="Times New Roman" w:cs="Times New Roman"/>
                <w:b/>
                <w:bCs/>
                <w:color w:val="000000"/>
                <w:sz w:val="24"/>
                <w:szCs w:val="24"/>
                <w:lang w:eastAsia="en-GB"/>
              </w:rPr>
              <w:t>4.45</w:t>
            </w:r>
          </w:p>
        </w:tc>
      </w:tr>
      <w:tr w:rsidR="00677767" w:rsidRPr="00852214" w:rsidTr="00677767">
        <w:trPr>
          <w:trHeight w:val="279"/>
        </w:trPr>
        <w:tc>
          <w:tcPr>
            <w:tcW w:w="536" w:type="dxa"/>
            <w:tcBorders>
              <w:top w:val="nil"/>
              <w:left w:val="nil"/>
              <w:bottom w:val="nil"/>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5135" w:type="dxa"/>
            <w:tcBorders>
              <w:top w:val="nil"/>
              <w:left w:val="nil"/>
              <w:bottom w:val="nil"/>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280" w:type="dxa"/>
            <w:tcBorders>
              <w:top w:val="nil"/>
              <w:left w:val="nil"/>
              <w:bottom w:val="nil"/>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1445" w:type="dxa"/>
            <w:tcBorders>
              <w:top w:val="nil"/>
              <w:left w:val="nil"/>
              <w:bottom w:val="nil"/>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1445" w:type="dxa"/>
            <w:tcBorders>
              <w:top w:val="nil"/>
              <w:left w:val="nil"/>
              <w:bottom w:val="nil"/>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1035" w:type="dxa"/>
            <w:tcBorders>
              <w:top w:val="nil"/>
              <w:left w:val="nil"/>
              <w:bottom w:val="nil"/>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c>
          <w:tcPr>
            <w:tcW w:w="1066" w:type="dxa"/>
            <w:tcBorders>
              <w:top w:val="nil"/>
              <w:left w:val="nil"/>
              <w:bottom w:val="nil"/>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w:t>
            </w:r>
          </w:p>
        </w:tc>
      </w:tr>
      <w:tr w:rsidR="00677767" w:rsidRPr="00852214" w:rsidTr="00677767">
        <w:trPr>
          <w:trHeight w:val="300"/>
        </w:trPr>
        <w:tc>
          <w:tcPr>
            <w:tcW w:w="5671" w:type="dxa"/>
            <w:gridSpan w:val="2"/>
            <w:tcBorders>
              <w:top w:val="nil"/>
              <w:left w:val="nil"/>
              <w:bottom w:val="nil"/>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eastAsia="en-GB"/>
              </w:rPr>
              <w:t xml:space="preserve">1. </w:t>
            </w:r>
            <w:r w:rsidR="00DC5E8C" w:rsidRPr="00852214">
              <w:rPr>
                <w:rFonts w:ascii="Times New Roman" w:hAnsi="Times New Roman" w:cs="Times New Roman"/>
                <w:color w:val="000000"/>
                <w:sz w:val="24"/>
                <w:szCs w:val="24"/>
                <w:lang w:eastAsia="en-GB"/>
              </w:rPr>
              <w:t>Обратите внимание, что взвешенная ненормированная оценка ограничена 95, как описано в тексте.</w:t>
            </w:r>
          </w:p>
        </w:tc>
        <w:tc>
          <w:tcPr>
            <w:tcW w:w="280" w:type="dxa"/>
            <w:tcBorders>
              <w:top w:val="nil"/>
              <w:left w:val="nil"/>
              <w:bottom w:val="nil"/>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445" w:type="dxa"/>
            <w:tcBorders>
              <w:top w:val="nil"/>
              <w:left w:val="nil"/>
              <w:bottom w:val="nil"/>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445" w:type="dxa"/>
            <w:tcBorders>
              <w:top w:val="nil"/>
              <w:left w:val="nil"/>
              <w:bottom w:val="nil"/>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035" w:type="dxa"/>
            <w:tcBorders>
              <w:top w:val="nil"/>
              <w:left w:val="nil"/>
              <w:bottom w:val="nil"/>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c>
          <w:tcPr>
            <w:tcW w:w="1066" w:type="dxa"/>
            <w:tcBorders>
              <w:top w:val="nil"/>
              <w:left w:val="nil"/>
              <w:bottom w:val="nil"/>
              <w:right w:val="nil"/>
            </w:tcBorders>
            <w:shd w:val="clear" w:color="000000" w:fill="FFFFFF"/>
            <w:noWrap/>
            <w:hideMark/>
          </w:tcPr>
          <w:p w:rsidR="00677767" w:rsidRPr="00852214" w:rsidRDefault="00677767" w:rsidP="00852214">
            <w:pPr>
              <w:spacing w:before="100" w:beforeAutospacing="1" w:after="100" w:afterAutospacing="1" w:line="276" w:lineRule="auto"/>
              <w:jc w:val="both"/>
              <w:rPr>
                <w:rFonts w:ascii="Times New Roman" w:hAnsi="Times New Roman" w:cs="Times New Roman"/>
                <w:color w:val="000000"/>
                <w:sz w:val="24"/>
                <w:szCs w:val="24"/>
                <w:lang w:eastAsia="en-GB"/>
              </w:rPr>
            </w:pPr>
            <w:r w:rsidRPr="00852214">
              <w:rPr>
                <w:rFonts w:ascii="Times New Roman" w:hAnsi="Times New Roman" w:cs="Times New Roman"/>
                <w:color w:val="000000"/>
                <w:sz w:val="24"/>
                <w:szCs w:val="24"/>
                <w:lang w:val="en-US" w:eastAsia="en-GB"/>
              </w:rPr>
              <w:t> </w:t>
            </w:r>
          </w:p>
        </w:tc>
      </w:tr>
    </w:tbl>
    <w:p w:rsidR="00677767" w:rsidRPr="00852214" w:rsidRDefault="00677767"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p>
    <w:p w:rsidR="00DC5E8C" w:rsidRPr="00852214" w:rsidRDefault="00DC5E8C"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Для нормализации </w:t>
      </w:r>
      <w:proofErr w:type="gramStart"/>
      <w:r w:rsidRPr="00852214">
        <w:rPr>
          <w:rFonts w:ascii="Times New Roman" w:eastAsia="Times New Roman" w:hAnsi="Times New Roman" w:cs="Times New Roman"/>
          <w:sz w:val="24"/>
          <w:szCs w:val="24"/>
          <w:lang w:eastAsia="ru-RU"/>
        </w:rPr>
        <w:t>показателей</w:t>
      </w:r>
      <w:proofErr w:type="gramEnd"/>
      <w:r w:rsidRPr="00852214">
        <w:rPr>
          <w:rFonts w:ascii="Times New Roman" w:eastAsia="Times New Roman" w:hAnsi="Times New Roman" w:cs="Times New Roman"/>
          <w:sz w:val="24"/>
          <w:szCs w:val="24"/>
          <w:lang w:eastAsia="ru-RU"/>
        </w:rPr>
        <w:t xml:space="preserve"> с течением времени взвешенные не нормированные оценки были рассчитаны для примерно одной трети стран, имеющих наиболее закодированные нарушения прав FACB работников и их организаций на 2000, 2005, 2009 и 2012 годы. </w:t>
      </w:r>
      <w:r w:rsidR="006A6FC8" w:rsidRPr="00852214">
        <w:rPr>
          <w:rFonts w:ascii="Times New Roman" w:eastAsia="Times New Roman" w:hAnsi="Times New Roman" w:cs="Times New Roman"/>
          <w:sz w:val="24"/>
          <w:szCs w:val="24"/>
          <w:lang w:eastAsia="ru-RU"/>
        </w:rPr>
        <w:t>Это основано на количестве нарушений прав FACB работников и их организаций в связи с тем, что они чаще попадают в текстовые источники МОТ</w:t>
      </w:r>
      <w:r w:rsidRPr="00852214">
        <w:rPr>
          <w:rFonts w:ascii="Times New Roman" w:eastAsia="Times New Roman" w:hAnsi="Times New Roman" w:cs="Times New Roman"/>
          <w:sz w:val="24"/>
          <w:szCs w:val="24"/>
          <w:lang w:eastAsia="ru-RU"/>
        </w:rPr>
        <w:t>. Наивысший взвешенный не нормированный балл для нескольких стран колебался около 80. Таким образом, 95 присваивается как максимальный взвешенный ненормированный балл для общего показателя LR, примерно равный половине гипотетически возможного максимально взвешенного ненормированного балла. Исходя из этого, ненормированный показатель для любой страны и года нормализуется в диапазоне от 0 до 10, соответственно лучших и наихудших возможных баллов. В будущем, если какая-либо страна получит не нормированный балл, превышающий 95, это будет ограничено 95, что даст нормализованный балл 10.</w:t>
      </w:r>
      <w:r w:rsidRPr="00852214">
        <w:rPr>
          <w:rStyle w:val="a6"/>
          <w:rFonts w:ascii="Times New Roman" w:eastAsia="Times New Roman" w:hAnsi="Times New Roman" w:cs="Times New Roman"/>
          <w:sz w:val="24"/>
          <w:szCs w:val="24"/>
          <w:lang w:eastAsia="ru-RU"/>
        </w:rPr>
        <w:footnoteReference w:id="3"/>
      </w:r>
    </w:p>
    <w:p w:rsidR="00DC5E8C" w:rsidRPr="00852214" w:rsidRDefault="00DC5E8C"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Кроме того, в методе применяется понятие о том, что общие запреты в законодательстве подразумевают общие запреты на практике (хотя и не наоборот). </w:t>
      </w:r>
      <w:proofErr w:type="gramStart"/>
      <w:r w:rsidRPr="00852214">
        <w:rPr>
          <w:rFonts w:ascii="Times New Roman" w:eastAsia="Times New Roman" w:hAnsi="Times New Roman" w:cs="Times New Roman"/>
          <w:sz w:val="24"/>
          <w:szCs w:val="24"/>
          <w:lang w:eastAsia="ru-RU"/>
        </w:rPr>
        <w:t>Что касается кодирования, это означает, что - как для рабочих, так и для работодателей - прямое кодирование «Общего запрета на право создавать и вступать в организации» по закону автоматически запускает кодирование «Общего запрета на развитие независимых организаций» на практике; прямое кодирование «общего запрета права на ведение коллективных переговоров» в законе автоматически инициирует кодирование «общего запрета коллективных переговоров» на практике;</w:t>
      </w:r>
      <w:proofErr w:type="gramEnd"/>
      <w:r w:rsidRPr="00852214">
        <w:rPr>
          <w:rFonts w:ascii="Times New Roman" w:eastAsia="Times New Roman" w:hAnsi="Times New Roman" w:cs="Times New Roman"/>
          <w:sz w:val="24"/>
          <w:szCs w:val="24"/>
          <w:lang w:eastAsia="ru-RU"/>
        </w:rPr>
        <w:t xml:space="preserve"> и, наконец, для рабочих прямое </w:t>
      </w:r>
      <w:r w:rsidRPr="00852214">
        <w:rPr>
          <w:rFonts w:ascii="Times New Roman" w:eastAsia="Times New Roman" w:hAnsi="Times New Roman" w:cs="Times New Roman"/>
          <w:sz w:val="24"/>
          <w:szCs w:val="24"/>
          <w:lang w:eastAsia="ru-RU"/>
        </w:rPr>
        <w:lastRenderedPageBreak/>
        <w:t xml:space="preserve">кодирование «общего запрета </w:t>
      </w:r>
      <w:proofErr w:type="gramStart"/>
      <w:r w:rsidRPr="00852214">
        <w:rPr>
          <w:rFonts w:ascii="Times New Roman" w:eastAsia="Times New Roman" w:hAnsi="Times New Roman" w:cs="Times New Roman"/>
          <w:sz w:val="24"/>
          <w:szCs w:val="24"/>
          <w:lang w:eastAsia="ru-RU"/>
        </w:rPr>
        <w:t>на право на</w:t>
      </w:r>
      <w:proofErr w:type="gramEnd"/>
      <w:r w:rsidRPr="00852214">
        <w:rPr>
          <w:rFonts w:ascii="Times New Roman" w:eastAsia="Times New Roman" w:hAnsi="Times New Roman" w:cs="Times New Roman"/>
          <w:sz w:val="24"/>
          <w:szCs w:val="24"/>
          <w:lang w:eastAsia="ru-RU"/>
        </w:rPr>
        <w:t xml:space="preserve"> забастовку» в законе автоматически запускает кодирование «общего запрета забастовок» на практике. Учитывая, что общий запрет на развитие независимых организаций подразумевает общий запрет на ведение коллективных переговоров (хотя и не наоборот), применяются аналогичные правила кодирования.</w:t>
      </w:r>
    </w:p>
    <w:p w:rsidR="00DC5E8C" w:rsidRPr="00852214" w:rsidRDefault="00DC5E8C"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proofErr w:type="gramStart"/>
      <w:r w:rsidRPr="00852214">
        <w:rPr>
          <w:rFonts w:ascii="Times New Roman" w:eastAsia="Times New Roman" w:hAnsi="Times New Roman" w:cs="Times New Roman"/>
          <w:sz w:val="24"/>
          <w:szCs w:val="24"/>
          <w:lang w:eastAsia="ru-RU"/>
        </w:rPr>
        <w:t>В дополнение к вышеуказанным нормативным нормам наихудший возможный балл 10 предоставляется за всеохватывающие нарушения прав FACB, то есть за «Общий запрет на право создавать и вступать в организации» по закону, «Общий запрет на разработку нез</w:t>
      </w:r>
      <w:r w:rsidR="001031CC" w:rsidRPr="00852214">
        <w:rPr>
          <w:rFonts w:ascii="Times New Roman" w:eastAsia="Times New Roman" w:hAnsi="Times New Roman" w:cs="Times New Roman"/>
          <w:sz w:val="24"/>
          <w:szCs w:val="24"/>
          <w:lang w:eastAsia="ru-RU"/>
        </w:rPr>
        <w:t xml:space="preserve">ависимых организаций» </w:t>
      </w:r>
      <w:r w:rsidRPr="00852214">
        <w:rPr>
          <w:rFonts w:ascii="Times New Roman" w:eastAsia="Times New Roman" w:hAnsi="Times New Roman" w:cs="Times New Roman"/>
          <w:sz w:val="24"/>
          <w:szCs w:val="24"/>
          <w:lang w:eastAsia="ru-RU"/>
        </w:rPr>
        <w:t>на практике,</w:t>
      </w:r>
      <w:r w:rsidR="0034708B" w:rsidRPr="00852214">
        <w:rPr>
          <w:rFonts w:ascii="Times New Roman" w:eastAsia="Times New Roman" w:hAnsi="Times New Roman" w:cs="Times New Roman"/>
          <w:sz w:val="24"/>
          <w:szCs w:val="24"/>
          <w:lang w:eastAsia="ru-RU"/>
        </w:rPr>
        <w:t xml:space="preserve"> </w:t>
      </w:r>
      <w:r w:rsidR="001031CC" w:rsidRPr="00852214">
        <w:rPr>
          <w:rFonts w:ascii="Times New Roman" w:eastAsia="Times New Roman" w:hAnsi="Times New Roman" w:cs="Times New Roman"/>
          <w:sz w:val="24"/>
          <w:szCs w:val="24"/>
          <w:lang w:eastAsia="ru-RU"/>
        </w:rPr>
        <w:t>«</w:t>
      </w:r>
      <w:r w:rsidRPr="00852214">
        <w:rPr>
          <w:rFonts w:ascii="Times New Roman" w:eastAsia="Times New Roman" w:hAnsi="Times New Roman" w:cs="Times New Roman"/>
          <w:sz w:val="24"/>
          <w:szCs w:val="24"/>
          <w:lang w:eastAsia="ru-RU"/>
        </w:rPr>
        <w:t>Общее запрещение права на ведение коллективных переговоров</w:t>
      </w:r>
      <w:r w:rsidR="001031CC" w:rsidRPr="00852214">
        <w:rPr>
          <w:rFonts w:ascii="Times New Roman" w:eastAsia="Times New Roman" w:hAnsi="Times New Roman" w:cs="Times New Roman"/>
          <w:sz w:val="24"/>
          <w:szCs w:val="24"/>
          <w:lang w:eastAsia="ru-RU"/>
        </w:rPr>
        <w:t>»</w:t>
      </w:r>
      <w:r w:rsidR="0034708B" w:rsidRPr="00852214">
        <w:rPr>
          <w:rFonts w:ascii="Times New Roman" w:eastAsia="Times New Roman" w:hAnsi="Times New Roman" w:cs="Times New Roman"/>
          <w:sz w:val="24"/>
          <w:szCs w:val="24"/>
          <w:lang w:eastAsia="ru-RU"/>
        </w:rPr>
        <w:t xml:space="preserve"> </w:t>
      </w:r>
      <w:r w:rsidRPr="00852214">
        <w:rPr>
          <w:rFonts w:ascii="Times New Roman" w:eastAsia="Times New Roman" w:hAnsi="Times New Roman" w:cs="Times New Roman"/>
          <w:sz w:val="24"/>
          <w:szCs w:val="24"/>
          <w:lang w:eastAsia="ru-RU"/>
        </w:rPr>
        <w:t>в законодательстве и</w:t>
      </w:r>
      <w:r w:rsidR="0034708B" w:rsidRPr="00852214">
        <w:rPr>
          <w:rFonts w:ascii="Times New Roman" w:eastAsia="Times New Roman" w:hAnsi="Times New Roman" w:cs="Times New Roman"/>
          <w:sz w:val="24"/>
          <w:szCs w:val="24"/>
          <w:lang w:eastAsia="ru-RU"/>
        </w:rPr>
        <w:t xml:space="preserve"> </w:t>
      </w:r>
      <w:r w:rsidR="001031CC" w:rsidRPr="00852214">
        <w:rPr>
          <w:rFonts w:ascii="Times New Roman" w:eastAsia="Times New Roman" w:hAnsi="Times New Roman" w:cs="Times New Roman"/>
          <w:sz w:val="24"/>
          <w:szCs w:val="24"/>
          <w:lang w:eastAsia="ru-RU"/>
        </w:rPr>
        <w:t>«</w:t>
      </w:r>
      <w:r w:rsidRPr="00852214">
        <w:rPr>
          <w:rFonts w:ascii="Times New Roman" w:eastAsia="Times New Roman" w:hAnsi="Times New Roman" w:cs="Times New Roman"/>
          <w:sz w:val="24"/>
          <w:szCs w:val="24"/>
          <w:lang w:eastAsia="ru-RU"/>
        </w:rPr>
        <w:t>Общий запрет на ве</w:t>
      </w:r>
      <w:r w:rsidR="001031CC" w:rsidRPr="00852214">
        <w:rPr>
          <w:rFonts w:ascii="Times New Roman" w:eastAsia="Times New Roman" w:hAnsi="Times New Roman" w:cs="Times New Roman"/>
          <w:sz w:val="24"/>
          <w:szCs w:val="24"/>
          <w:lang w:eastAsia="ru-RU"/>
        </w:rPr>
        <w:t xml:space="preserve">дение коллективных переговоров» </w:t>
      </w:r>
      <w:r w:rsidRPr="00852214">
        <w:rPr>
          <w:rFonts w:ascii="Times New Roman" w:eastAsia="Times New Roman" w:hAnsi="Times New Roman" w:cs="Times New Roman"/>
          <w:sz w:val="24"/>
          <w:szCs w:val="24"/>
          <w:lang w:eastAsia="ru-RU"/>
        </w:rPr>
        <w:t>на практике.</w:t>
      </w:r>
      <w:proofErr w:type="gramEnd"/>
    </w:p>
    <w:p w:rsidR="00DC5E8C" w:rsidRPr="00852214" w:rsidRDefault="00DC5E8C"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В отчетности по показателю ЦУР 8.8.2 будут выделены различия между ратифицирующими и не ратифицирующими странами, добавив два столбца вместе с показателем ЦУР 8.8.2. В первой колонке указывается, ратифицировала ли страна Конвенцию № 87, а во второй колонке указывается, ратифицировала ли </w:t>
      </w:r>
      <w:r w:rsidR="00470347" w:rsidRPr="00852214">
        <w:rPr>
          <w:rFonts w:ascii="Times New Roman" w:eastAsia="Times New Roman" w:hAnsi="Times New Roman" w:cs="Times New Roman"/>
          <w:sz w:val="24"/>
          <w:szCs w:val="24"/>
          <w:lang w:eastAsia="ru-RU"/>
        </w:rPr>
        <w:t>страна</w:t>
      </w:r>
      <w:r w:rsidRPr="00852214">
        <w:rPr>
          <w:rFonts w:ascii="Times New Roman" w:eastAsia="Times New Roman" w:hAnsi="Times New Roman" w:cs="Times New Roman"/>
          <w:sz w:val="24"/>
          <w:szCs w:val="24"/>
          <w:lang w:eastAsia="ru-RU"/>
        </w:rPr>
        <w:t xml:space="preserve"> Конвенцию № 98. Столбцы будут </w:t>
      </w:r>
      <w:r w:rsidR="00470347" w:rsidRPr="00852214">
        <w:rPr>
          <w:rFonts w:ascii="Times New Roman" w:eastAsia="Times New Roman" w:hAnsi="Times New Roman" w:cs="Times New Roman"/>
          <w:sz w:val="24"/>
          <w:szCs w:val="24"/>
          <w:lang w:eastAsia="ru-RU"/>
        </w:rPr>
        <w:t xml:space="preserve">иметь </w:t>
      </w:r>
      <w:r w:rsidRPr="00852214">
        <w:rPr>
          <w:rFonts w:ascii="Times New Roman" w:eastAsia="Times New Roman" w:hAnsi="Times New Roman" w:cs="Times New Roman"/>
          <w:sz w:val="24"/>
          <w:szCs w:val="24"/>
          <w:lang w:eastAsia="ru-RU"/>
        </w:rPr>
        <w:t>следующи</w:t>
      </w:r>
      <w:r w:rsidR="00470347" w:rsidRPr="00852214">
        <w:rPr>
          <w:rFonts w:ascii="Times New Roman" w:eastAsia="Times New Roman" w:hAnsi="Times New Roman" w:cs="Times New Roman"/>
          <w:sz w:val="24"/>
          <w:szCs w:val="24"/>
          <w:lang w:eastAsia="ru-RU"/>
        </w:rPr>
        <w:t>й</w:t>
      </w:r>
      <w:r w:rsidRPr="00852214">
        <w:rPr>
          <w:rFonts w:ascii="Times New Roman" w:eastAsia="Times New Roman" w:hAnsi="Times New Roman" w:cs="Times New Roman"/>
          <w:sz w:val="24"/>
          <w:szCs w:val="24"/>
          <w:lang w:eastAsia="ru-RU"/>
        </w:rPr>
        <w:t xml:space="preserve"> </w:t>
      </w:r>
      <w:r w:rsidR="00470347" w:rsidRPr="00852214">
        <w:rPr>
          <w:rFonts w:ascii="Times New Roman" w:eastAsia="Times New Roman" w:hAnsi="Times New Roman" w:cs="Times New Roman"/>
          <w:sz w:val="24"/>
          <w:szCs w:val="24"/>
          <w:lang w:eastAsia="ru-RU"/>
        </w:rPr>
        <w:t xml:space="preserve">объяснительный </w:t>
      </w:r>
      <w:r w:rsidRPr="00852214">
        <w:rPr>
          <w:rFonts w:ascii="Times New Roman" w:eastAsia="Times New Roman" w:hAnsi="Times New Roman" w:cs="Times New Roman"/>
          <w:sz w:val="24"/>
          <w:szCs w:val="24"/>
          <w:lang w:eastAsia="ru-RU"/>
        </w:rPr>
        <w:t xml:space="preserve">текст: </w:t>
      </w:r>
      <w:r w:rsidRPr="00852214">
        <w:rPr>
          <w:rFonts w:ascii="Times New Roman" w:eastAsia="Times New Roman" w:hAnsi="Times New Roman" w:cs="Times New Roman"/>
          <w:i/>
          <w:sz w:val="24"/>
          <w:szCs w:val="24"/>
          <w:lang w:eastAsia="ru-RU"/>
        </w:rPr>
        <w:t xml:space="preserve">«Показатель ЦУР 8.8.2 не предназначен </w:t>
      </w:r>
      <w:r w:rsidR="00BE7C40" w:rsidRPr="00852214">
        <w:rPr>
          <w:rFonts w:ascii="Times New Roman" w:eastAsia="Times New Roman" w:hAnsi="Times New Roman" w:cs="Times New Roman"/>
          <w:i/>
          <w:sz w:val="24"/>
          <w:szCs w:val="24"/>
          <w:lang w:eastAsia="ru-RU"/>
        </w:rPr>
        <w:t>в качестве</w:t>
      </w:r>
      <w:r w:rsidRPr="00852214">
        <w:rPr>
          <w:rFonts w:ascii="Times New Roman" w:eastAsia="Times New Roman" w:hAnsi="Times New Roman" w:cs="Times New Roman"/>
          <w:i/>
          <w:sz w:val="24"/>
          <w:szCs w:val="24"/>
          <w:lang w:eastAsia="ru-RU"/>
        </w:rPr>
        <w:t xml:space="preserve"> инструмент</w:t>
      </w:r>
      <w:r w:rsidR="00BE7C40" w:rsidRPr="00852214">
        <w:rPr>
          <w:rFonts w:ascii="Times New Roman" w:eastAsia="Times New Roman" w:hAnsi="Times New Roman" w:cs="Times New Roman"/>
          <w:i/>
          <w:sz w:val="24"/>
          <w:szCs w:val="24"/>
          <w:lang w:eastAsia="ru-RU"/>
        </w:rPr>
        <w:t>а</w:t>
      </w:r>
      <w:r w:rsidRPr="00852214">
        <w:rPr>
          <w:rFonts w:ascii="Times New Roman" w:eastAsia="Times New Roman" w:hAnsi="Times New Roman" w:cs="Times New Roman"/>
          <w:i/>
          <w:sz w:val="24"/>
          <w:szCs w:val="24"/>
          <w:lang w:eastAsia="ru-RU"/>
        </w:rPr>
        <w:t xml:space="preserve"> сравнения соблюдения между государствами-членами МОТ. Следует особо отметить, что обязательства по представлению отчетности государства-члена МОТ в систему надзора МОТ и, таким образом, текстовые источники МОТ различны для ратифицировавших и не ратифицир</w:t>
      </w:r>
      <w:r w:rsidR="00554736" w:rsidRPr="00852214">
        <w:rPr>
          <w:rFonts w:ascii="Times New Roman" w:eastAsia="Times New Roman" w:hAnsi="Times New Roman" w:cs="Times New Roman"/>
          <w:i/>
          <w:sz w:val="24"/>
          <w:szCs w:val="24"/>
          <w:lang w:eastAsia="ru-RU"/>
        </w:rPr>
        <w:t>овавших документы</w:t>
      </w:r>
      <w:r w:rsidRPr="00852214">
        <w:rPr>
          <w:rFonts w:ascii="Times New Roman" w:eastAsia="Times New Roman" w:hAnsi="Times New Roman" w:cs="Times New Roman"/>
          <w:i/>
          <w:sz w:val="24"/>
          <w:szCs w:val="24"/>
          <w:lang w:eastAsia="ru-RU"/>
        </w:rPr>
        <w:t xml:space="preserve"> государств-членов МОТ».</w:t>
      </w:r>
    </w:p>
    <w:p w:rsidR="00DC5E8C" w:rsidRPr="00852214" w:rsidRDefault="00DC5E8C"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В соответствии с вышеприведенными таблицами 1 и 2 вопросы несоблюдения критериев оценки, касающиеся исключения работников и работодателей из </w:t>
      </w:r>
      <w:proofErr w:type="spellStart"/>
      <w:r w:rsidR="00554736" w:rsidRPr="00852214">
        <w:rPr>
          <w:rFonts w:ascii="Times New Roman" w:eastAsia="Times New Roman" w:hAnsi="Times New Roman" w:cs="Times New Roman"/>
          <w:sz w:val="24"/>
          <w:szCs w:val="24"/>
          <w:lang w:eastAsia="ru-RU"/>
        </w:rPr>
        <w:t>EPZs</w:t>
      </w:r>
      <w:proofErr w:type="spellEnd"/>
      <w:r w:rsidR="00554736" w:rsidRPr="00852214">
        <w:rPr>
          <w:rFonts w:ascii="Times New Roman" w:eastAsia="Times New Roman" w:hAnsi="Times New Roman" w:cs="Times New Roman"/>
          <w:sz w:val="24"/>
          <w:szCs w:val="24"/>
          <w:lang w:eastAsia="ru-RU"/>
        </w:rPr>
        <w:t xml:space="preserve"> </w:t>
      </w:r>
      <w:r w:rsidRPr="00852214">
        <w:rPr>
          <w:rFonts w:ascii="Times New Roman" w:eastAsia="Times New Roman" w:hAnsi="Times New Roman" w:cs="Times New Roman"/>
          <w:sz w:val="24"/>
          <w:szCs w:val="24"/>
          <w:lang w:eastAsia="ru-RU"/>
        </w:rPr>
        <w:t xml:space="preserve"> из права на свободу ассоциации и права на ведение коллективных переговоров, не будут кодироваться отдельно, а скорее </w:t>
      </w:r>
      <w:r w:rsidR="00554736" w:rsidRPr="00852214">
        <w:rPr>
          <w:rFonts w:ascii="Times New Roman" w:eastAsia="Times New Roman" w:hAnsi="Times New Roman" w:cs="Times New Roman"/>
          <w:sz w:val="24"/>
          <w:szCs w:val="24"/>
          <w:lang w:eastAsia="ru-RU"/>
        </w:rPr>
        <w:t xml:space="preserve">будут </w:t>
      </w:r>
      <w:r w:rsidRPr="00852214">
        <w:rPr>
          <w:rFonts w:ascii="Times New Roman" w:eastAsia="Times New Roman" w:hAnsi="Times New Roman" w:cs="Times New Roman"/>
          <w:sz w:val="24"/>
          <w:szCs w:val="24"/>
          <w:lang w:eastAsia="ru-RU"/>
        </w:rPr>
        <w:t>закодированы по критериям оценки, касающимся общего исключения рабочих и работодателей.</w:t>
      </w:r>
    </w:p>
    <w:p w:rsidR="00DC5E8C" w:rsidRPr="00852214" w:rsidRDefault="00DC5E8C"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Дополнительный критерий оценки был добавлен в код</w:t>
      </w:r>
      <w:r w:rsidR="00554736" w:rsidRPr="00852214">
        <w:rPr>
          <w:rFonts w:ascii="Times New Roman" w:eastAsia="Times New Roman" w:hAnsi="Times New Roman" w:cs="Times New Roman"/>
          <w:sz w:val="24"/>
          <w:szCs w:val="24"/>
          <w:lang w:eastAsia="ru-RU"/>
        </w:rPr>
        <w:t>ы</w:t>
      </w:r>
      <w:r w:rsidRPr="00852214">
        <w:rPr>
          <w:rFonts w:ascii="Times New Roman" w:eastAsia="Times New Roman" w:hAnsi="Times New Roman" w:cs="Times New Roman"/>
          <w:sz w:val="24"/>
          <w:szCs w:val="24"/>
          <w:lang w:eastAsia="ru-RU"/>
        </w:rPr>
        <w:t>, представленные в соответствии со статьей 26 Устава МОТ, до Комиссии по расследованию МОТ и с учетом максимального веса 2,0 (критерии оценки 0 в таблицах 1 и 2). Этот критерий оценки будет сначала закодирован в течение года, когда будет принято решение о создании процедуры, а затем за каждый последующий год до принятия и публикации окончательного отчета.</w:t>
      </w:r>
    </w:p>
    <w:p w:rsidR="00DC5E8C" w:rsidRPr="00852214" w:rsidRDefault="00DC5E8C"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proofErr w:type="gramStart"/>
      <w:r w:rsidRPr="00852214">
        <w:rPr>
          <w:rFonts w:ascii="Times New Roman" w:eastAsia="Times New Roman" w:hAnsi="Times New Roman" w:cs="Times New Roman"/>
          <w:sz w:val="24"/>
          <w:szCs w:val="24"/>
          <w:lang w:eastAsia="ru-RU"/>
        </w:rPr>
        <w:t>Основываясь на выявлении нарушений в текстовых источниках надзорного органа МОТ, нарушения, связанные с запретом доступа работодателей к их помещениям во время промышленных действий, будут закодированы в соответствии с новыми отдельными критериями оценки, которые конкретно касаются таких нарушений (критерии оценки 48 и 55 в таблице 2 за нарушения в законодательстве и на практике, соответственно).</w:t>
      </w:r>
      <w:proofErr w:type="gramEnd"/>
    </w:p>
    <w:p w:rsidR="00DC5E8C" w:rsidRPr="00852214" w:rsidRDefault="00DC5E8C"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Что касается возможных противоречий между текстовыми источниками, для целей </w:t>
      </w:r>
      <w:r w:rsidR="009D771F" w:rsidRPr="00852214">
        <w:rPr>
          <w:rFonts w:ascii="Times New Roman" w:eastAsia="Times New Roman" w:hAnsi="Times New Roman" w:cs="Times New Roman"/>
          <w:sz w:val="24"/>
          <w:szCs w:val="24"/>
          <w:lang w:eastAsia="ru-RU"/>
        </w:rPr>
        <w:t>показателя</w:t>
      </w:r>
      <w:r w:rsidRPr="00852214">
        <w:rPr>
          <w:rFonts w:ascii="Times New Roman" w:eastAsia="Times New Roman" w:hAnsi="Times New Roman" w:cs="Times New Roman"/>
          <w:sz w:val="24"/>
          <w:szCs w:val="24"/>
          <w:lang w:eastAsia="ru-RU"/>
        </w:rPr>
        <w:t xml:space="preserve"> ЦУР 8.8.2 будет применяться следующее правило кодирования: «Если в одном источнике обнаружены противоречивые доказательства или если явно выраженная противоречивая оценка обнаружена среди разных источников, основанная исключительно </w:t>
      </w:r>
      <w:r w:rsidRPr="00852214">
        <w:rPr>
          <w:rFonts w:ascii="Times New Roman" w:eastAsia="Times New Roman" w:hAnsi="Times New Roman" w:cs="Times New Roman"/>
          <w:sz w:val="24"/>
          <w:szCs w:val="24"/>
          <w:lang w:eastAsia="ru-RU"/>
        </w:rPr>
        <w:lastRenderedPageBreak/>
        <w:t>на комментарии, выводы и рекомендации надзорной системы МОТ - информация будет исключена из кодирования ».</w:t>
      </w:r>
    </w:p>
    <w:p w:rsidR="00DC5E8C" w:rsidRPr="00852214" w:rsidRDefault="00DC5E8C"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Кодирование национального законодательства будет осуществляться в тесном сотрудничестве с Международным бюро труда для обеспечения того, чтобы оно осуществлялось в соответствии с системой надзора МОТ. Кроме того, страны могут также предоставлять информацию о национальном законодательстве при представлении отчетности по этому показателю через Добровольные национальные отчеты или национальные платформы отчетности или любые другие национальные доклады. Отметьте, что для того, чтобы избежать создания дополнительного контрольного механизма, кодирование национального законодательства для ратифицирующих государств-членов не будет проводиться для показателя 8.8.2 ЦУР, поскольку это находится под контролем надзорной системы МОТ.</w:t>
      </w:r>
    </w:p>
    <w:p w:rsidR="00852214" w:rsidRDefault="00852214" w:rsidP="00852214">
      <w:pPr>
        <w:spacing w:before="100" w:beforeAutospacing="1" w:after="100" w:afterAutospacing="1" w:line="276" w:lineRule="auto"/>
        <w:jc w:val="both"/>
        <w:rPr>
          <w:rFonts w:ascii="Times New Roman" w:eastAsia="Times New Roman" w:hAnsi="Times New Roman" w:cs="Times New Roman"/>
          <w:b/>
          <w:sz w:val="24"/>
          <w:szCs w:val="24"/>
          <w:lang w:eastAsia="ru-RU"/>
        </w:rPr>
      </w:pPr>
    </w:p>
    <w:p w:rsidR="00DC5E8C" w:rsidRPr="00852214" w:rsidRDefault="00DC5E8C" w:rsidP="00852214">
      <w:pPr>
        <w:spacing w:before="100" w:beforeAutospacing="1" w:after="100" w:afterAutospacing="1" w:line="276" w:lineRule="auto"/>
        <w:jc w:val="both"/>
        <w:rPr>
          <w:rFonts w:ascii="Times New Roman" w:eastAsia="Times New Roman" w:hAnsi="Times New Roman" w:cs="Times New Roman"/>
          <w:b/>
          <w:sz w:val="24"/>
          <w:szCs w:val="24"/>
          <w:lang w:eastAsia="ru-RU"/>
        </w:rPr>
      </w:pPr>
      <w:r w:rsidRPr="00852214">
        <w:rPr>
          <w:rFonts w:ascii="Times New Roman" w:eastAsia="Times New Roman" w:hAnsi="Times New Roman" w:cs="Times New Roman"/>
          <w:b/>
          <w:sz w:val="24"/>
          <w:szCs w:val="24"/>
          <w:lang w:eastAsia="ru-RU"/>
        </w:rPr>
        <w:t>Дезагрегация</w:t>
      </w:r>
      <w:r w:rsidR="00852214">
        <w:rPr>
          <w:rFonts w:ascii="Times New Roman" w:eastAsia="Times New Roman" w:hAnsi="Times New Roman" w:cs="Times New Roman"/>
          <w:b/>
          <w:sz w:val="24"/>
          <w:szCs w:val="24"/>
          <w:lang w:eastAsia="ru-RU"/>
        </w:rPr>
        <w:t>:</w:t>
      </w:r>
    </w:p>
    <w:p w:rsidR="00DC5E8C" w:rsidRDefault="00DC5E8C"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proofErr w:type="spellStart"/>
      <w:r w:rsidRPr="00852214">
        <w:rPr>
          <w:rFonts w:ascii="Times New Roman" w:eastAsia="Times New Roman" w:hAnsi="Times New Roman" w:cs="Times New Roman"/>
          <w:sz w:val="24"/>
          <w:szCs w:val="24"/>
          <w:lang w:eastAsia="ru-RU"/>
        </w:rPr>
        <w:t>Дезагрегирование</w:t>
      </w:r>
      <w:proofErr w:type="spellEnd"/>
      <w:r w:rsidRPr="00852214">
        <w:rPr>
          <w:rFonts w:ascii="Times New Roman" w:eastAsia="Times New Roman" w:hAnsi="Times New Roman" w:cs="Times New Roman"/>
          <w:sz w:val="24"/>
          <w:szCs w:val="24"/>
          <w:lang w:eastAsia="ru-RU"/>
        </w:rPr>
        <w:t xml:space="preserve"> по признаку пола и статуса мигранта возможно, хотя для получения информации потребуется больше времени, и потребуются дополнительные ресурсы для повторного кодирования всех нарушений, в которых особое внимание уделяется этим категориям</w:t>
      </w:r>
      <w:r w:rsidR="00BE7C40" w:rsidRPr="00852214">
        <w:rPr>
          <w:rFonts w:ascii="Times New Roman" w:eastAsia="Times New Roman" w:hAnsi="Times New Roman" w:cs="Times New Roman"/>
          <w:sz w:val="24"/>
          <w:szCs w:val="24"/>
          <w:lang w:eastAsia="ru-RU"/>
        </w:rPr>
        <w:t>.</w:t>
      </w:r>
    </w:p>
    <w:p w:rsidR="00852214" w:rsidRPr="00852214" w:rsidRDefault="00852214"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p>
    <w:p w:rsidR="00DC5E8C" w:rsidRPr="00852214" w:rsidRDefault="00DC5E8C" w:rsidP="00852214">
      <w:pPr>
        <w:spacing w:before="100" w:beforeAutospacing="1" w:after="100" w:afterAutospacing="1" w:line="276" w:lineRule="auto"/>
        <w:jc w:val="both"/>
        <w:rPr>
          <w:rFonts w:ascii="Times New Roman" w:eastAsia="Times New Roman" w:hAnsi="Times New Roman" w:cs="Times New Roman"/>
          <w:b/>
          <w:sz w:val="24"/>
          <w:szCs w:val="24"/>
          <w:lang w:eastAsia="ru-RU"/>
        </w:rPr>
      </w:pPr>
      <w:r w:rsidRPr="00852214">
        <w:rPr>
          <w:rFonts w:ascii="Times New Roman" w:eastAsia="Times New Roman" w:hAnsi="Times New Roman" w:cs="Times New Roman"/>
          <w:b/>
          <w:sz w:val="24"/>
          <w:szCs w:val="24"/>
          <w:lang w:eastAsia="ru-RU"/>
        </w:rPr>
        <w:t>Обработка отсутствующих значений</w:t>
      </w:r>
      <w:r w:rsidR="00852214">
        <w:rPr>
          <w:rFonts w:ascii="Times New Roman" w:eastAsia="Times New Roman" w:hAnsi="Times New Roman" w:cs="Times New Roman"/>
          <w:b/>
          <w:sz w:val="24"/>
          <w:szCs w:val="24"/>
          <w:lang w:eastAsia="ru-RU"/>
        </w:rPr>
        <w:t>:</w:t>
      </w:r>
    </w:p>
    <w:p w:rsidR="00DC5E8C" w:rsidRPr="00DA017F" w:rsidRDefault="00DC5E8C" w:rsidP="00DA017F">
      <w:pPr>
        <w:pStyle w:val="a3"/>
        <w:numPr>
          <w:ilvl w:val="0"/>
          <w:numId w:val="17"/>
        </w:numPr>
        <w:spacing w:before="100" w:beforeAutospacing="1" w:after="100" w:afterAutospacing="1" w:line="276" w:lineRule="auto"/>
        <w:jc w:val="both"/>
        <w:rPr>
          <w:rFonts w:ascii="Times New Roman" w:eastAsia="Times New Roman" w:hAnsi="Times New Roman" w:cs="Times New Roman"/>
          <w:b/>
          <w:color w:val="0070C0"/>
          <w:sz w:val="24"/>
          <w:szCs w:val="24"/>
          <w:lang w:eastAsia="ru-RU"/>
        </w:rPr>
      </w:pPr>
      <w:r w:rsidRPr="00DA017F">
        <w:rPr>
          <w:rFonts w:ascii="Times New Roman" w:eastAsia="Times New Roman" w:hAnsi="Times New Roman" w:cs="Times New Roman"/>
          <w:b/>
          <w:color w:val="0070C0"/>
          <w:sz w:val="24"/>
          <w:szCs w:val="24"/>
          <w:lang w:eastAsia="ru-RU"/>
        </w:rPr>
        <w:t>На уровне</w:t>
      </w:r>
      <w:r w:rsidR="00852214" w:rsidRPr="00DA017F">
        <w:rPr>
          <w:rFonts w:ascii="Times New Roman" w:eastAsia="Times New Roman" w:hAnsi="Times New Roman" w:cs="Times New Roman"/>
          <w:b/>
          <w:color w:val="0070C0"/>
          <w:sz w:val="24"/>
          <w:szCs w:val="24"/>
          <w:lang w:eastAsia="ru-RU"/>
        </w:rPr>
        <w:t xml:space="preserve"> страны</w:t>
      </w:r>
    </w:p>
    <w:p w:rsidR="00DC5E8C" w:rsidRPr="00852214" w:rsidRDefault="00DC5E8C"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Этот показатель не будет представлен для стран, для которых текстовые источники контрольного органа МОТ не предоставляют достаточного количества информации в конкретный год. МОТ проведет консультации с социальными партнерами относительно того, какие страны следует исключить из отчетности по этим причинам. На апрельской встрече в 2018 году социальные партнеры выразили разные мнения по поводу того, что страны-респонденты отказываются от отчетности, основываясь на сравнении с показателем, полученным извне. Чтобы согласовать эти разные взгляды, Бюро предлагает продолжить с этим сравнением, чтобы обеспечить отправную точку для Статистического отдела МОТ для консультаций с внутренними и внешними источниками и трехсторонними участниками.</w:t>
      </w:r>
    </w:p>
    <w:p w:rsidR="00DC5E8C" w:rsidRPr="00DA017F" w:rsidRDefault="00852214" w:rsidP="00DA017F">
      <w:pPr>
        <w:pStyle w:val="a3"/>
        <w:numPr>
          <w:ilvl w:val="0"/>
          <w:numId w:val="17"/>
        </w:numPr>
        <w:spacing w:before="100" w:beforeAutospacing="1" w:after="100" w:afterAutospacing="1" w:line="276" w:lineRule="auto"/>
        <w:jc w:val="both"/>
        <w:rPr>
          <w:rFonts w:ascii="Times New Roman" w:eastAsia="Times New Roman" w:hAnsi="Times New Roman" w:cs="Times New Roman"/>
          <w:b/>
          <w:color w:val="0070C0"/>
          <w:sz w:val="24"/>
          <w:szCs w:val="24"/>
          <w:lang w:eastAsia="ru-RU"/>
        </w:rPr>
      </w:pPr>
      <w:r w:rsidRPr="00DA017F">
        <w:rPr>
          <w:rFonts w:ascii="Times New Roman" w:eastAsia="Times New Roman" w:hAnsi="Times New Roman" w:cs="Times New Roman"/>
          <w:b/>
          <w:color w:val="0070C0"/>
          <w:sz w:val="24"/>
          <w:szCs w:val="24"/>
          <w:lang w:eastAsia="ru-RU"/>
        </w:rPr>
        <w:t>На региональном и глобальном</w:t>
      </w:r>
      <w:r w:rsidR="00DC5E8C" w:rsidRPr="00DA017F">
        <w:rPr>
          <w:rFonts w:ascii="Times New Roman" w:eastAsia="Times New Roman" w:hAnsi="Times New Roman" w:cs="Times New Roman"/>
          <w:b/>
          <w:color w:val="0070C0"/>
          <w:sz w:val="24"/>
          <w:szCs w:val="24"/>
          <w:lang w:eastAsia="ru-RU"/>
        </w:rPr>
        <w:t xml:space="preserve"> уровнях</w:t>
      </w:r>
    </w:p>
    <w:p w:rsidR="00DC5E8C" w:rsidRPr="00852214" w:rsidRDefault="00DC5E8C"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proofErr w:type="gramStart"/>
      <w:r w:rsidRPr="00852214">
        <w:rPr>
          <w:rFonts w:ascii="Times New Roman" w:eastAsia="Times New Roman" w:hAnsi="Times New Roman" w:cs="Times New Roman"/>
          <w:sz w:val="24"/>
          <w:szCs w:val="24"/>
          <w:lang w:eastAsia="ru-RU"/>
        </w:rPr>
        <w:t>Поскольку кодирование будет доступно для всех государств-членов, за исключением случаев недопустимого кодирования, описанного в предыдущем абзаце, можно будет рассчитать средние значения для регионального и глобального уровней.</w:t>
      </w:r>
      <w:proofErr w:type="gramEnd"/>
    </w:p>
    <w:p w:rsidR="009D5927" w:rsidRDefault="009D5927" w:rsidP="00852214">
      <w:pPr>
        <w:spacing w:before="100" w:beforeAutospacing="1" w:after="100" w:afterAutospacing="1" w:line="276" w:lineRule="auto"/>
        <w:jc w:val="both"/>
        <w:rPr>
          <w:rFonts w:ascii="Times New Roman" w:eastAsia="Times New Roman" w:hAnsi="Times New Roman" w:cs="Times New Roman"/>
          <w:b/>
          <w:sz w:val="24"/>
          <w:szCs w:val="24"/>
          <w:lang w:eastAsia="ru-RU"/>
        </w:rPr>
      </w:pPr>
    </w:p>
    <w:p w:rsidR="00DC5E8C" w:rsidRPr="009D5927" w:rsidRDefault="00DC5E8C" w:rsidP="00852214">
      <w:pPr>
        <w:spacing w:before="100" w:beforeAutospacing="1" w:after="100" w:afterAutospacing="1" w:line="276" w:lineRule="auto"/>
        <w:jc w:val="both"/>
        <w:rPr>
          <w:rFonts w:ascii="Times New Roman" w:eastAsia="Times New Roman" w:hAnsi="Times New Roman" w:cs="Times New Roman"/>
          <w:b/>
          <w:sz w:val="24"/>
          <w:szCs w:val="24"/>
          <w:lang w:eastAsia="ru-RU"/>
        </w:rPr>
      </w:pPr>
      <w:r w:rsidRPr="009D5927">
        <w:rPr>
          <w:rFonts w:ascii="Times New Roman" w:eastAsia="Times New Roman" w:hAnsi="Times New Roman" w:cs="Times New Roman"/>
          <w:b/>
          <w:sz w:val="24"/>
          <w:szCs w:val="24"/>
          <w:lang w:eastAsia="ru-RU"/>
        </w:rPr>
        <w:t>Временные ряды:</w:t>
      </w:r>
    </w:p>
    <w:p w:rsidR="00DC5E8C" w:rsidRPr="00852214" w:rsidRDefault="009D771F"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Показатель</w:t>
      </w:r>
      <w:r w:rsidR="00DC5E8C" w:rsidRPr="00852214">
        <w:rPr>
          <w:rFonts w:ascii="Times New Roman" w:eastAsia="Times New Roman" w:hAnsi="Times New Roman" w:cs="Times New Roman"/>
          <w:sz w:val="24"/>
          <w:szCs w:val="24"/>
          <w:lang w:eastAsia="ru-RU"/>
        </w:rPr>
        <w:t xml:space="preserve"> </w:t>
      </w:r>
      <w:proofErr w:type="gramStart"/>
      <w:r w:rsidR="00DC5E8C" w:rsidRPr="00852214">
        <w:rPr>
          <w:rFonts w:ascii="Times New Roman" w:eastAsia="Times New Roman" w:hAnsi="Times New Roman" w:cs="Times New Roman"/>
          <w:sz w:val="24"/>
          <w:szCs w:val="24"/>
          <w:lang w:eastAsia="ru-RU"/>
        </w:rPr>
        <w:t>будет доступен начиная</w:t>
      </w:r>
      <w:proofErr w:type="gramEnd"/>
      <w:r w:rsidR="00DC5E8C" w:rsidRPr="00852214">
        <w:rPr>
          <w:rFonts w:ascii="Times New Roman" w:eastAsia="Times New Roman" w:hAnsi="Times New Roman" w:cs="Times New Roman"/>
          <w:sz w:val="24"/>
          <w:szCs w:val="24"/>
          <w:lang w:eastAsia="ru-RU"/>
        </w:rPr>
        <w:t xml:space="preserve"> с 2015 года. 2017 и 2018 годы, а затем должна быть проведена специальная работа по кодированию в обратном направлении до 2015-2016 годов, поскольку предыдущая методология была уточнена в соответствии с </w:t>
      </w:r>
      <w:r w:rsidR="00C45365" w:rsidRPr="00852214">
        <w:rPr>
          <w:rFonts w:ascii="Times New Roman" w:eastAsia="Times New Roman" w:hAnsi="Times New Roman" w:cs="Times New Roman"/>
          <w:sz w:val="24"/>
          <w:szCs w:val="24"/>
          <w:lang w:eastAsia="ru-RU"/>
        </w:rPr>
        <w:t xml:space="preserve">20ой ICLS </w:t>
      </w:r>
      <w:r w:rsidR="00DC5E8C" w:rsidRPr="00852214">
        <w:rPr>
          <w:rFonts w:ascii="Times New Roman" w:eastAsia="Times New Roman" w:hAnsi="Times New Roman" w:cs="Times New Roman"/>
          <w:sz w:val="24"/>
          <w:szCs w:val="24"/>
          <w:lang w:eastAsia="ru-RU"/>
        </w:rPr>
        <w:t>резолюцией II.</w:t>
      </w:r>
    </w:p>
    <w:p w:rsidR="00DA017F" w:rsidRDefault="00DA017F" w:rsidP="00DA017F">
      <w:pPr>
        <w:spacing w:before="100" w:beforeAutospacing="1" w:after="100" w:afterAutospacing="1" w:line="276" w:lineRule="auto"/>
        <w:jc w:val="both"/>
        <w:rPr>
          <w:rFonts w:ascii="Times New Roman" w:hAnsi="Times New Roman" w:cs="Times New Roman"/>
          <w:b/>
          <w:sz w:val="24"/>
          <w:szCs w:val="24"/>
        </w:rPr>
      </w:pPr>
    </w:p>
    <w:p w:rsidR="00DA017F" w:rsidRPr="00B27A0B" w:rsidRDefault="00DA017F" w:rsidP="00DA017F">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Pr>
          <w:rFonts w:ascii="Times New Roman" w:hAnsi="Times New Roman" w:cs="Times New Roman"/>
          <w:b/>
          <w:color w:val="0070C0"/>
          <w:sz w:val="24"/>
          <w:szCs w:val="24"/>
        </w:rPr>
        <w:t>Календарь</w:t>
      </w:r>
      <w:r w:rsidRPr="00A218FA">
        <w:rPr>
          <w:rFonts w:ascii="Times New Roman" w:hAnsi="Times New Roman" w:cs="Times New Roman"/>
          <w:b/>
          <w:color w:val="0070C0"/>
          <w:sz w:val="24"/>
          <w:szCs w:val="24"/>
        </w:rPr>
        <w:t xml:space="preserve"> </w:t>
      </w:r>
    </w:p>
    <w:p w:rsidR="00DA017F" w:rsidRDefault="00DA017F" w:rsidP="00852214">
      <w:pPr>
        <w:spacing w:before="100" w:beforeAutospacing="1" w:after="100" w:afterAutospacing="1" w:line="276" w:lineRule="auto"/>
        <w:jc w:val="both"/>
        <w:rPr>
          <w:rFonts w:ascii="Times New Roman" w:eastAsia="Times New Roman" w:hAnsi="Times New Roman" w:cs="Times New Roman"/>
          <w:b/>
          <w:color w:val="0070C0"/>
          <w:sz w:val="24"/>
          <w:szCs w:val="24"/>
          <w:lang w:eastAsia="ru-RU"/>
        </w:rPr>
      </w:pPr>
    </w:p>
    <w:p w:rsidR="009D5927" w:rsidRPr="009D5927" w:rsidRDefault="009D5927"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9D5927">
        <w:rPr>
          <w:rFonts w:ascii="Times New Roman" w:eastAsia="Times New Roman" w:hAnsi="Times New Roman" w:cs="Times New Roman"/>
          <w:sz w:val="24"/>
          <w:szCs w:val="24"/>
          <w:lang w:eastAsia="ru-RU"/>
        </w:rPr>
        <w:t>Не доступно</w:t>
      </w:r>
      <w:r>
        <w:rPr>
          <w:rFonts w:ascii="Times New Roman" w:eastAsia="Times New Roman" w:hAnsi="Times New Roman" w:cs="Times New Roman"/>
          <w:sz w:val="24"/>
          <w:szCs w:val="24"/>
          <w:lang w:eastAsia="ru-RU"/>
        </w:rPr>
        <w:t>.</w:t>
      </w:r>
    </w:p>
    <w:p w:rsidR="00DA017F" w:rsidRDefault="00DA017F" w:rsidP="00DA017F">
      <w:pPr>
        <w:spacing w:before="100" w:beforeAutospacing="1" w:after="100" w:afterAutospacing="1" w:line="276" w:lineRule="auto"/>
        <w:jc w:val="both"/>
        <w:rPr>
          <w:rFonts w:ascii="Times New Roman" w:hAnsi="Times New Roman" w:cs="Times New Roman"/>
          <w:b/>
          <w:sz w:val="24"/>
          <w:szCs w:val="24"/>
        </w:rPr>
      </w:pPr>
    </w:p>
    <w:p w:rsidR="00DA017F" w:rsidRPr="00B27A0B" w:rsidRDefault="00DA017F" w:rsidP="00DA017F">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Pr>
          <w:rFonts w:ascii="Times New Roman" w:hAnsi="Times New Roman" w:cs="Times New Roman"/>
          <w:b/>
          <w:color w:val="0070C0"/>
          <w:sz w:val="24"/>
          <w:szCs w:val="24"/>
        </w:rPr>
        <w:t xml:space="preserve">Доступность данных </w:t>
      </w:r>
    </w:p>
    <w:p w:rsidR="00DA017F" w:rsidRPr="00B27A0B" w:rsidRDefault="00DA017F" w:rsidP="00DA017F">
      <w:pPr>
        <w:spacing w:before="100" w:beforeAutospacing="1" w:after="100" w:afterAutospacing="1"/>
        <w:jc w:val="both"/>
        <w:rPr>
          <w:rFonts w:ascii="Times New Roman" w:hAnsi="Times New Roman" w:cs="Times New Roman"/>
          <w:b/>
          <w:color w:val="0070C0"/>
          <w:sz w:val="24"/>
          <w:szCs w:val="24"/>
        </w:rPr>
      </w:pPr>
    </w:p>
    <w:p w:rsidR="00C45365" w:rsidRPr="00852214" w:rsidRDefault="00C45365"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Доступные данные </w:t>
      </w:r>
      <w:r w:rsidR="00554736" w:rsidRPr="00852214">
        <w:rPr>
          <w:rFonts w:ascii="Times New Roman" w:eastAsia="Times New Roman" w:hAnsi="Times New Roman" w:cs="Times New Roman"/>
          <w:sz w:val="24"/>
          <w:szCs w:val="24"/>
          <w:lang w:eastAsia="ru-RU"/>
        </w:rPr>
        <w:t>пилотного проекта</w:t>
      </w:r>
      <w:r w:rsidRPr="00852214">
        <w:rPr>
          <w:rFonts w:ascii="Times New Roman" w:eastAsia="Times New Roman" w:hAnsi="Times New Roman" w:cs="Times New Roman"/>
          <w:sz w:val="24"/>
          <w:szCs w:val="24"/>
          <w:lang w:eastAsia="ru-RU"/>
        </w:rPr>
        <w:t xml:space="preserve"> доступны для 178 стран на 2016 год. Данные доступны в прилагаемом файле </w:t>
      </w:r>
      <w:proofErr w:type="spellStart"/>
      <w:r w:rsidRPr="00852214">
        <w:rPr>
          <w:rFonts w:ascii="Times New Roman" w:eastAsia="Times New Roman" w:hAnsi="Times New Roman" w:cs="Times New Roman"/>
          <w:sz w:val="24"/>
          <w:szCs w:val="24"/>
          <w:lang w:eastAsia="ru-RU"/>
        </w:rPr>
        <w:t>excel</w:t>
      </w:r>
      <w:proofErr w:type="spellEnd"/>
      <w:r w:rsidRPr="00852214">
        <w:rPr>
          <w:rFonts w:ascii="Times New Roman" w:eastAsia="Times New Roman" w:hAnsi="Times New Roman" w:cs="Times New Roman"/>
          <w:sz w:val="24"/>
          <w:szCs w:val="24"/>
          <w:lang w:eastAsia="ru-RU"/>
        </w:rPr>
        <w:t xml:space="preserve"> и охватывают все регионы. Он основан на описанном процессе кодирования и нормализации, но не включает кодификацию нарушения прав работодателей, что будет сделано в окончательной версии </w:t>
      </w:r>
      <w:r w:rsidR="009D771F" w:rsidRPr="00852214">
        <w:rPr>
          <w:rFonts w:ascii="Times New Roman" w:eastAsia="Times New Roman" w:hAnsi="Times New Roman" w:cs="Times New Roman"/>
          <w:sz w:val="24"/>
          <w:szCs w:val="24"/>
          <w:lang w:eastAsia="ru-RU"/>
        </w:rPr>
        <w:t>показателя</w:t>
      </w:r>
      <w:r w:rsidRPr="00852214">
        <w:rPr>
          <w:rFonts w:ascii="Times New Roman" w:eastAsia="Times New Roman" w:hAnsi="Times New Roman" w:cs="Times New Roman"/>
          <w:sz w:val="24"/>
          <w:szCs w:val="24"/>
          <w:lang w:eastAsia="ru-RU"/>
        </w:rPr>
        <w:t xml:space="preserve">. Источники для кодирования и производства этого показателя доступны </w:t>
      </w:r>
      <w:proofErr w:type="gramStart"/>
      <w:r w:rsidRPr="00852214">
        <w:rPr>
          <w:rFonts w:ascii="Times New Roman" w:eastAsia="Times New Roman" w:hAnsi="Times New Roman" w:cs="Times New Roman"/>
          <w:sz w:val="24"/>
          <w:szCs w:val="24"/>
          <w:lang w:eastAsia="ru-RU"/>
        </w:rPr>
        <w:t>в</w:t>
      </w:r>
      <w:proofErr w:type="gramEnd"/>
      <w:r w:rsidRPr="00852214">
        <w:rPr>
          <w:rFonts w:ascii="Times New Roman" w:eastAsia="Times New Roman" w:hAnsi="Times New Roman" w:cs="Times New Roman"/>
          <w:sz w:val="24"/>
          <w:szCs w:val="24"/>
          <w:lang w:eastAsia="ru-RU"/>
        </w:rPr>
        <w:t xml:space="preserve"> МОТ из его текстовых источников, требующих особых усилий по перекодированию и кодированию 5 независимыми группами кодировщиков.</w:t>
      </w:r>
    </w:p>
    <w:p w:rsidR="009D5927" w:rsidRDefault="009D5927" w:rsidP="00852214">
      <w:pPr>
        <w:spacing w:before="100" w:beforeAutospacing="1" w:after="100" w:afterAutospacing="1" w:line="276" w:lineRule="auto"/>
        <w:jc w:val="both"/>
        <w:rPr>
          <w:rFonts w:ascii="Times New Roman" w:eastAsia="Times New Roman" w:hAnsi="Times New Roman" w:cs="Times New Roman"/>
          <w:b/>
          <w:sz w:val="24"/>
          <w:szCs w:val="24"/>
          <w:lang w:eastAsia="ru-RU"/>
        </w:rPr>
      </w:pPr>
    </w:p>
    <w:p w:rsidR="00C45365" w:rsidRPr="009D5927" w:rsidRDefault="00C45365" w:rsidP="00852214">
      <w:pPr>
        <w:spacing w:before="100" w:beforeAutospacing="1" w:after="100" w:afterAutospacing="1" w:line="276" w:lineRule="auto"/>
        <w:jc w:val="both"/>
        <w:rPr>
          <w:rFonts w:ascii="Times New Roman" w:eastAsia="Times New Roman" w:hAnsi="Times New Roman" w:cs="Times New Roman"/>
          <w:b/>
          <w:sz w:val="24"/>
          <w:szCs w:val="24"/>
          <w:lang w:eastAsia="ru-RU"/>
        </w:rPr>
      </w:pPr>
      <w:r w:rsidRPr="009D5927">
        <w:rPr>
          <w:rFonts w:ascii="Times New Roman" w:eastAsia="Times New Roman" w:hAnsi="Times New Roman" w:cs="Times New Roman"/>
          <w:b/>
          <w:sz w:val="24"/>
          <w:szCs w:val="24"/>
          <w:lang w:eastAsia="ru-RU"/>
        </w:rPr>
        <w:t>Временные ряды:</w:t>
      </w:r>
    </w:p>
    <w:p w:rsidR="00C45365" w:rsidRPr="00852214" w:rsidRDefault="00C45365"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Временные ряды пока недоступны, но имеются источники данных, и МОТ с учетом имеющихся ресурсов </w:t>
      </w:r>
      <w:proofErr w:type="gramStart"/>
      <w:r w:rsidRPr="00852214">
        <w:rPr>
          <w:rFonts w:ascii="Times New Roman" w:eastAsia="Times New Roman" w:hAnsi="Times New Roman" w:cs="Times New Roman"/>
          <w:sz w:val="24"/>
          <w:szCs w:val="24"/>
          <w:lang w:eastAsia="ru-RU"/>
        </w:rPr>
        <w:t>будет осуществлять процесс кодификации и нормализации начиная</w:t>
      </w:r>
      <w:proofErr w:type="gramEnd"/>
      <w:r w:rsidRPr="00852214">
        <w:rPr>
          <w:rFonts w:ascii="Times New Roman" w:eastAsia="Times New Roman" w:hAnsi="Times New Roman" w:cs="Times New Roman"/>
          <w:sz w:val="24"/>
          <w:szCs w:val="24"/>
          <w:lang w:eastAsia="ru-RU"/>
        </w:rPr>
        <w:t xml:space="preserve"> с 2015 года.</w:t>
      </w:r>
    </w:p>
    <w:p w:rsidR="009D5927" w:rsidRDefault="009D5927" w:rsidP="00852214">
      <w:pPr>
        <w:spacing w:before="100" w:beforeAutospacing="1" w:after="100" w:afterAutospacing="1" w:line="276" w:lineRule="auto"/>
        <w:jc w:val="both"/>
        <w:rPr>
          <w:rFonts w:ascii="Times New Roman" w:eastAsia="Times New Roman" w:hAnsi="Times New Roman" w:cs="Times New Roman"/>
          <w:b/>
          <w:sz w:val="24"/>
          <w:szCs w:val="24"/>
          <w:lang w:eastAsia="ru-RU"/>
        </w:rPr>
      </w:pPr>
    </w:p>
    <w:p w:rsidR="00C45365" w:rsidRPr="00852214" w:rsidRDefault="00C45365" w:rsidP="00852214">
      <w:pPr>
        <w:spacing w:before="100" w:beforeAutospacing="1" w:after="100" w:afterAutospacing="1" w:line="276" w:lineRule="auto"/>
        <w:jc w:val="both"/>
        <w:rPr>
          <w:rFonts w:ascii="Times New Roman" w:eastAsia="Times New Roman" w:hAnsi="Times New Roman" w:cs="Times New Roman"/>
          <w:b/>
          <w:sz w:val="24"/>
          <w:szCs w:val="24"/>
          <w:lang w:eastAsia="ru-RU"/>
        </w:rPr>
      </w:pPr>
      <w:r w:rsidRPr="00852214">
        <w:rPr>
          <w:rFonts w:ascii="Times New Roman" w:eastAsia="Times New Roman" w:hAnsi="Times New Roman" w:cs="Times New Roman"/>
          <w:b/>
          <w:sz w:val="24"/>
          <w:szCs w:val="24"/>
          <w:lang w:eastAsia="ru-RU"/>
        </w:rPr>
        <w:t>Сбор данных:</w:t>
      </w:r>
    </w:p>
    <w:p w:rsidR="00C45365" w:rsidRPr="00852214" w:rsidRDefault="00C45365"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Компиляция и кодирование на 2017 год начнутся в начале 2019 года. Данные 2018 года будут опубликованы в 2020 году. В соответствии с ресурсами, кодификация на 2015-2016 годы начнется в ближайшее время.</w:t>
      </w:r>
    </w:p>
    <w:p w:rsidR="009D5927" w:rsidRDefault="009D5927" w:rsidP="00852214">
      <w:pPr>
        <w:spacing w:before="100" w:beforeAutospacing="1" w:after="100" w:afterAutospacing="1" w:line="276" w:lineRule="auto"/>
        <w:jc w:val="both"/>
        <w:rPr>
          <w:rFonts w:ascii="Times New Roman" w:eastAsia="Times New Roman" w:hAnsi="Times New Roman" w:cs="Times New Roman"/>
          <w:b/>
          <w:sz w:val="24"/>
          <w:szCs w:val="24"/>
          <w:lang w:eastAsia="ru-RU"/>
        </w:rPr>
      </w:pPr>
    </w:p>
    <w:p w:rsidR="00C45365" w:rsidRPr="00852214" w:rsidRDefault="00C45365" w:rsidP="00852214">
      <w:pPr>
        <w:spacing w:before="100" w:beforeAutospacing="1" w:after="100" w:afterAutospacing="1" w:line="276" w:lineRule="auto"/>
        <w:jc w:val="both"/>
        <w:rPr>
          <w:rFonts w:ascii="Times New Roman" w:eastAsia="Times New Roman" w:hAnsi="Times New Roman" w:cs="Times New Roman"/>
          <w:b/>
          <w:sz w:val="24"/>
          <w:szCs w:val="24"/>
          <w:lang w:eastAsia="ru-RU"/>
        </w:rPr>
      </w:pPr>
      <w:r w:rsidRPr="00852214">
        <w:rPr>
          <w:rFonts w:ascii="Times New Roman" w:eastAsia="Times New Roman" w:hAnsi="Times New Roman" w:cs="Times New Roman"/>
          <w:b/>
          <w:sz w:val="24"/>
          <w:szCs w:val="24"/>
          <w:lang w:eastAsia="ru-RU"/>
        </w:rPr>
        <w:t>Выпуск данных:</w:t>
      </w:r>
    </w:p>
    <w:p w:rsidR="00C45365" w:rsidRPr="00852214" w:rsidRDefault="00C45365"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Ожидается, что он будет представлен к концу каждого года.</w:t>
      </w:r>
    </w:p>
    <w:p w:rsidR="00DA017F" w:rsidRDefault="00DA017F" w:rsidP="00DA017F">
      <w:pPr>
        <w:spacing w:before="100" w:beforeAutospacing="1" w:after="100" w:afterAutospacing="1" w:line="276" w:lineRule="auto"/>
        <w:jc w:val="both"/>
        <w:rPr>
          <w:rFonts w:ascii="Times New Roman" w:hAnsi="Times New Roman" w:cs="Times New Roman"/>
          <w:b/>
          <w:sz w:val="24"/>
          <w:szCs w:val="24"/>
        </w:rPr>
      </w:pPr>
    </w:p>
    <w:p w:rsidR="00DA017F" w:rsidRPr="00B27A0B" w:rsidRDefault="00DA017F" w:rsidP="00DA017F">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Pr>
          <w:rFonts w:ascii="Times New Roman" w:hAnsi="Times New Roman" w:cs="Times New Roman"/>
          <w:b/>
          <w:color w:val="0070C0"/>
          <w:sz w:val="24"/>
          <w:szCs w:val="24"/>
        </w:rPr>
        <w:t>Поставщики данных</w:t>
      </w:r>
      <w:r w:rsidRPr="00A218FA">
        <w:rPr>
          <w:rFonts w:ascii="Times New Roman" w:hAnsi="Times New Roman" w:cs="Times New Roman"/>
          <w:b/>
          <w:color w:val="0070C0"/>
          <w:sz w:val="24"/>
          <w:szCs w:val="24"/>
        </w:rPr>
        <w:t xml:space="preserve"> </w:t>
      </w:r>
    </w:p>
    <w:p w:rsidR="00DA017F" w:rsidRPr="00B27A0B" w:rsidRDefault="00DA017F" w:rsidP="00DA017F">
      <w:pPr>
        <w:spacing w:before="100" w:beforeAutospacing="1" w:after="100" w:afterAutospacing="1"/>
        <w:jc w:val="both"/>
        <w:rPr>
          <w:rFonts w:ascii="Times New Roman" w:hAnsi="Times New Roman" w:cs="Times New Roman"/>
          <w:b/>
          <w:color w:val="0070C0"/>
          <w:sz w:val="24"/>
          <w:szCs w:val="24"/>
        </w:rPr>
      </w:pPr>
    </w:p>
    <w:p w:rsidR="00DC5E8C" w:rsidRPr="009D5927" w:rsidRDefault="00C45365" w:rsidP="00852214">
      <w:pPr>
        <w:spacing w:before="100" w:beforeAutospacing="1" w:after="100" w:afterAutospacing="1" w:line="276" w:lineRule="auto"/>
        <w:jc w:val="both"/>
        <w:rPr>
          <w:rFonts w:ascii="Times New Roman" w:eastAsia="Times New Roman" w:hAnsi="Times New Roman" w:cs="Times New Roman"/>
          <w:i/>
          <w:sz w:val="24"/>
          <w:szCs w:val="24"/>
          <w:lang w:eastAsia="ru-RU"/>
        </w:rPr>
      </w:pPr>
      <w:r w:rsidRPr="00852214">
        <w:rPr>
          <w:rFonts w:ascii="Times New Roman" w:eastAsia="Times New Roman" w:hAnsi="Times New Roman" w:cs="Times New Roman"/>
          <w:sz w:val="24"/>
          <w:szCs w:val="24"/>
          <w:lang w:eastAsia="ru-RU"/>
        </w:rPr>
        <w:t xml:space="preserve">Данные будут предоставлены текстовыми источниками МОТ, описанными в методологическом материале. Текстовыми источниками являются: </w:t>
      </w:r>
      <w:r w:rsidRPr="009D5927">
        <w:rPr>
          <w:rFonts w:ascii="Times New Roman" w:eastAsia="Times New Roman" w:hAnsi="Times New Roman" w:cs="Times New Roman"/>
          <w:i/>
          <w:sz w:val="24"/>
          <w:szCs w:val="24"/>
          <w:lang w:eastAsia="ru-RU"/>
        </w:rPr>
        <w:t xml:space="preserve">доклады Комитета экспертов по применению конвенций и рекомендаций; Доклады Комитета Конференции по применению стандартов; </w:t>
      </w:r>
      <w:proofErr w:type="spellStart"/>
      <w:r w:rsidRPr="009D5927">
        <w:rPr>
          <w:rFonts w:ascii="Times New Roman" w:eastAsia="Times New Roman" w:hAnsi="Times New Roman" w:cs="Times New Roman"/>
          <w:i/>
          <w:sz w:val="24"/>
          <w:szCs w:val="24"/>
          <w:lang w:eastAsia="ru-RU"/>
        </w:rPr>
        <w:t>Страновые</w:t>
      </w:r>
      <w:proofErr w:type="spellEnd"/>
      <w:r w:rsidRPr="009D5927">
        <w:rPr>
          <w:rFonts w:ascii="Times New Roman" w:eastAsia="Times New Roman" w:hAnsi="Times New Roman" w:cs="Times New Roman"/>
          <w:i/>
          <w:sz w:val="24"/>
          <w:szCs w:val="24"/>
          <w:lang w:eastAsia="ru-RU"/>
        </w:rPr>
        <w:t xml:space="preserve"> базовые показатели в рамках Ежегодного обзора Декларации МОТ; Представительства в соответствии со статьей 24 Устава МОТ; Жалобы в соответствии со статьей 26 Устава МОТ и Доклад Комитета по свободе объединения.</w:t>
      </w:r>
    </w:p>
    <w:p w:rsidR="00C45365" w:rsidRPr="00852214" w:rsidRDefault="00C45365"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Эти доклады широко известны и распространяются среди всех государств-членов МОТ, и в большинстве случаев они осуществляются при активном участии национальных социальных партнеров (правительств, работодателей и работников). В некоторых случаях, как и Комитет экспертов, он является независимым органом, организованным МОТ, обеспечивающим беспристрастность и объективность в своих решениях.</w:t>
      </w:r>
    </w:p>
    <w:p w:rsidR="00C45365" w:rsidRPr="00852214" w:rsidRDefault="00C45365"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МОТ возьмет на себя задачу кодирования и проверки его через свои контрольные механизмы. В годовом отчете по этому показателю будет включена вводная часть, согласованная с трехсторонними участниками МОТ в рамках МКСТ. </w:t>
      </w:r>
      <w:r w:rsidR="00554736" w:rsidRPr="00852214">
        <w:rPr>
          <w:rFonts w:ascii="Times New Roman" w:eastAsia="Times New Roman" w:hAnsi="Times New Roman" w:cs="Times New Roman"/>
          <w:sz w:val="24"/>
          <w:szCs w:val="24"/>
          <w:lang w:eastAsia="ru-RU"/>
        </w:rPr>
        <w:t>Будет звучать как</w:t>
      </w:r>
      <w:r w:rsidRPr="00852214">
        <w:rPr>
          <w:rFonts w:ascii="Times New Roman" w:eastAsia="Times New Roman" w:hAnsi="Times New Roman" w:cs="Times New Roman"/>
          <w:sz w:val="24"/>
          <w:szCs w:val="24"/>
          <w:lang w:eastAsia="ru-RU"/>
        </w:rPr>
        <w:t>:</w:t>
      </w:r>
    </w:p>
    <w:p w:rsidR="00C45365" w:rsidRPr="009D5927" w:rsidRDefault="00C45365" w:rsidP="00852214">
      <w:pPr>
        <w:spacing w:before="100" w:beforeAutospacing="1" w:after="100" w:afterAutospacing="1" w:line="276" w:lineRule="auto"/>
        <w:jc w:val="both"/>
        <w:rPr>
          <w:rFonts w:ascii="Times New Roman" w:eastAsia="Times New Roman" w:hAnsi="Times New Roman" w:cs="Times New Roman"/>
          <w:i/>
          <w:sz w:val="24"/>
          <w:szCs w:val="24"/>
          <w:lang w:eastAsia="ru-RU"/>
        </w:rPr>
      </w:pPr>
      <w:r w:rsidRPr="009D5927">
        <w:rPr>
          <w:rFonts w:ascii="Times New Roman" w:eastAsia="Times New Roman" w:hAnsi="Times New Roman" w:cs="Times New Roman"/>
          <w:i/>
          <w:sz w:val="24"/>
          <w:szCs w:val="24"/>
          <w:lang w:eastAsia="ru-RU"/>
        </w:rPr>
        <w:t xml:space="preserve">«Показатель ЦУР 8.8.2 направлен на измерение уровня соблюдения на национальном уровне фундаментальных трудовых прав (свобода ассоциации и ведение коллективных переговоров). Он основан на шести текстовых источниках надзорного органа Международной организации труда (МОТ), а также на национальном законодательстве. </w:t>
      </w:r>
      <w:r w:rsidR="00E5681C" w:rsidRPr="009D5927">
        <w:rPr>
          <w:rFonts w:ascii="Times New Roman" w:eastAsia="Times New Roman" w:hAnsi="Times New Roman" w:cs="Times New Roman"/>
          <w:i/>
          <w:sz w:val="24"/>
          <w:szCs w:val="24"/>
          <w:lang w:eastAsia="ru-RU"/>
        </w:rPr>
        <w:t>Национальное законодательство не вводится в действие с целью выработки статистического показателя соблюдения основных прав, и для этой цели не были созданы какие-либо текстовые источники МОТ. Показатель 8.8.2 составляется на основе этих источников, и его использование не является отказом от различных точек зрения соответствующих участников МОТ на выводы источников</w:t>
      </w:r>
      <w:r w:rsidRPr="009D5927">
        <w:rPr>
          <w:rFonts w:ascii="Times New Roman" w:eastAsia="Times New Roman" w:hAnsi="Times New Roman" w:cs="Times New Roman"/>
          <w:i/>
          <w:sz w:val="24"/>
          <w:szCs w:val="24"/>
          <w:lang w:eastAsia="ru-RU"/>
        </w:rPr>
        <w:t>».</w:t>
      </w:r>
    </w:p>
    <w:p w:rsidR="00DA017F" w:rsidRDefault="00DA017F" w:rsidP="00DA017F">
      <w:pPr>
        <w:spacing w:before="100" w:beforeAutospacing="1" w:after="100" w:afterAutospacing="1" w:line="276" w:lineRule="auto"/>
        <w:jc w:val="both"/>
        <w:rPr>
          <w:rFonts w:ascii="Times New Roman" w:hAnsi="Times New Roman" w:cs="Times New Roman"/>
          <w:b/>
          <w:sz w:val="24"/>
          <w:szCs w:val="24"/>
        </w:rPr>
      </w:pPr>
    </w:p>
    <w:p w:rsidR="00DA017F" w:rsidRPr="00B27A0B" w:rsidRDefault="00DA017F" w:rsidP="00DA017F">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Pr>
          <w:rFonts w:ascii="Times New Roman" w:hAnsi="Times New Roman" w:cs="Times New Roman"/>
          <w:b/>
          <w:color w:val="0070C0"/>
          <w:sz w:val="24"/>
          <w:szCs w:val="24"/>
        </w:rPr>
        <w:t>Составители данных</w:t>
      </w:r>
    </w:p>
    <w:p w:rsidR="00DA017F" w:rsidRPr="00B27A0B" w:rsidRDefault="00DA017F" w:rsidP="00DA017F">
      <w:pPr>
        <w:spacing w:before="100" w:beforeAutospacing="1" w:after="100" w:afterAutospacing="1"/>
        <w:jc w:val="both"/>
        <w:rPr>
          <w:rFonts w:ascii="Times New Roman" w:hAnsi="Times New Roman" w:cs="Times New Roman"/>
          <w:b/>
          <w:color w:val="0070C0"/>
          <w:sz w:val="24"/>
          <w:szCs w:val="24"/>
        </w:rPr>
      </w:pPr>
    </w:p>
    <w:p w:rsidR="000C6392" w:rsidRPr="00852214" w:rsidRDefault="000C6392" w:rsidP="00852214">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lastRenderedPageBreak/>
        <w:t>МОТ</w:t>
      </w:r>
    </w:p>
    <w:p w:rsidR="00DA017F" w:rsidRDefault="00DA017F" w:rsidP="00DA017F">
      <w:pPr>
        <w:spacing w:before="100" w:beforeAutospacing="1" w:after="100" w:afterAutospacing="1" w:line="276" w:lineRule="auto"/>
        <w:jc w:val="both"/>
        <w:rPr>
          <w:rFonts w:ascii="Times New Roman" w:hAnsi="Times New Roman" w:cs="Times New Roman"/>
          <w:b/>
          <w:sz w:val="24"/>
          <w:szCs w:val="24"/>
        </w:rPr>
      </w:pPr>
    </w:p>
    <w:p w:rsidR="00DA017F" w:rsidRPr="00B27A0B" w:rsidRDefault="00DA017F" w:rsidP="00DA017F">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Pr>
          <w:rFonts w:ascii="Times New Roman" w:hAnsi="Times New Roman" w:cs="Times New Roman"/>
          <w:b/>
          <w:color w:val="0070C0"/>
          <w:sz w:val="24"/>
          <w:szCs w:val="24"/>
        </w:rPr>
        <w:t xml:space="preserve">Ссылки </w:t>
      </w:r>
    </w:p>
    <w:p w:rsidR="00DA017F" w:rsidRPr="00B27A0B" w:rsidRDefault="00DA017F" w:rsidP="00DA017F">
      <w:pPr>
        <w:spacing w:before="100" w:beforeAutospacing="1" w:after="100" w:afterAutospacing="1"/>
        <w:jc w:val="both"/>
        <w:rPr>
          <w:rFonts w:ascii="Times New Roman" w:hAnsi="Times New Roman" w:cs="Times New Roman"/>
          <w:b/>
          <w:color w:val="0070C0"/>
          <w:sz w:val="24"/>
          <w:szCs w:val="24"/>
        </w:rPr>
      </w:pPr>
    </w:p>
    <w:p w:rsidR="000C6392" w:rsidRPr="00852214" w:rsidRDefault="000C6392" w:rsidP="00852214">
      <w:pPr>
        <w:autoSpaceDE w:val="0"/>
        <w:autoSpaceDN w:val="0"/>
        <w:adjustRightInd w:val="0"/>
        <w:spacing w:before="100" w:beforeAutospacing="1" w:after="100" w:afterAutospacing="1" w:line="276" w:lineRule="auto"/>
        <w:jc w:val="both"/>
        <w:rPr>
          <w:rFonts w:ascii="Times New Roman" w:eastAsia="Times New Roman" w:hAnsi="Times New Roman" w:cs="Times New Roman"/>
          <w:sz w:val="24"/>
          <w:szCs w:val="24"/>
          <w:lang w:val="en-US" w:eastAsia="ru-RU"/>
        </w:rPr>
      </w:pPr>
      <w:proofErr w:type="spellStart"/>
      <w:r w:rsidRPr="00852214">
        <w:rPr>
          <w:rFonts w:ascii="Times New Roman" w:eastAsia="Times New Roman" w:hAnsi="Times New Roman" w:cs="Times New Roman"/>
          <w:sz w:val="24"/>
          <w:szCs w:val="24"/>
          <w:lang w:eastAsia="ru-RU"/>
        </w:rPr>
        <w:t>Barenberg</w:t>
      </w:r>
      <w:proofErr w:type="spellEnd"/>
      <w:r w:rsidRPr="00852214">
        <w:rPr>
          <w:rFonts w:ascii="Times New Roman" w:eastAsia="Times New Roman" w:hAnsi="Times New Roman" w:cs="Times New Roman"/>
          <w:sz w:val="24"/>
          <w:szCs w:val="24"/>
          <w:lang w:eastAsia="ru-RU"/>
        </w:rPr>
        <w:t xml:space="preserve">, M. 2010. </w:t>
      </w:r>
      <w:hyperlink r:id="rId9" w:history="1">
        <w:r w:rsidRPr="00852214">
          <w:rPr>
            <w:rFonts w:ascii="Times New Roman" w:eastAsia="Times New Roman" w:hAnsi="Times New Roman" w:cs="Times New Roman"/>
            <w:sz w:val="24"/>
            <w:szCs w:val="24"/>
            <w:lang w:val="en-US" w:eastAsia="ru-RU"/>
          </w:rPr>
          <w:t>“Literature Review and Bibliography for Research project: Refining the NAS-ILAB Matrix”</w:t>
        </w:r>
      </w:hyperlink>
      <w:r w:rsidRPr="00852214">
        <w:rPr>
          <w:rFonts w:ascii="Times New Roman" w:eastAsia="Times New Roman" w:hAnsi="Times New Roman" w:cs="Times New Roman"/>
          <w:sz w:val="24"/>
          <w:szCs w:val="24"/>
          <w:lang w:val="en-US" w:eastAsia="ru-RU"/>
        </w:rPr>
        <w:t>, U.S. Department of Labor, Bureau of International Labor Affairs Department of Labor (ILAB).</w:t>
      </w:r>
    </w:p>
    <w:p w:rsidR="000C6392" w:rsidRPr="00852214" w:rsidRDefault="000C6392" w:rsidP="00852214">
      <w:pPr>
        <w:autoSpaceDE w:val="0"/>
        <w:autoSpaceDN w:val="0"/>
        <w:adjustRightInd w:val="0"/>
        <w:spacing w:before="100" w:beforeAutospacing="1" w:after="100" w:afterAutospacing="1" w:line="276" w:lineRule="auto"/>
        <w:jc w:val="both"/>
        <w:rPr>
          <w:rFonts w:ascii="Times New Roman" w:eastAsia="Times New Roman" w:hAnsi="Times New Roman" w:cs="Times New Roman"/>
          <w:sz w:val="24"/>
          <w:szCs w:val="24"/>
          <w:lang w:val="en-US" w:eastAsia="ru-RU"/>
        </w:rPr>
      </w:pPr>
      <w:r w:rsidRPr="00852214">
        <w:rPr>
          <w:rFonts w:ascii="Times New Roman" w:eastAsia="Times New Roman" w:hAnsi="Times New Roman" w:cs="Times New Roman"/>
          <w:sz w:val="24"/>
          <w:szCs w:val="24"/>
          <w:lang w:val="en-US" w:eastAsia="ru-RU"/>
        </w:rPr>
        <w:t xml:space="preserve">Greenhill, B., Mosley, L., Prakash, A., 2009. </w:t>
      </w:r>
      <w:hyperlink r:id="rId10" w:history="1">
        <w:r w:rsidRPr="00852214">
          <w:rPr>
            <w:rFonts w:ascii="Times New Roman" w:eastAsia="Times New Roman" w:hAnsi="Times New Roman" w:cs="Times New Roman"/>
            <w:sz w:val="24"/>
            <w:szCs w:val="24"/>
            <w:lang w:val="en-US" w:eastAsia="ru-RU"/>
          </w:rPr>
          <w:t>“Trade-based Diffusion of Labor Rights: A Panel Study, 1986–2002”</w:t>
        </w:r>
      </w:hyperlink>
      <w:r w:rsidRPr="00852214">
        <w:rPr>
          <w:rFonts w:ascii="Times New Roman" w:eastAsia="Times New Roman" w:hAnsi="Times New Roman" w:cs="Times New Roman"/>
          <w:sz w:val="24"/>
          <w:szCs w:val="24"/>
          <w:lang w:val="en-US" w:eastAsia="ru-RU"/>
        </w:rPr>
        <w:t>, American Political Science Review 103(4): 669-690.</w:t>
      </w:r>
    </w:p>
    <w:p w:rsidR="000C6392" w:rsidRPr="00852214" w:rsidRDefault="000C6392" w:rsidP="00852214">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val="en-US" w:eastAsia="ru-RU"/>
        </w:rPr>
      </w:pPr>
      <w:bookmarkStart w:id="0" w:name="_Toc523831203"/>
      <w:bookmarkStart w:id="1" w:name="_Toc523910462"/>
      <w:proofErr w:type="gramStart"/>
      <w:r w:rsidRPr="00852214">
        <w:rPr>
          <w:rFonts w:ascii="Times New Roman" w:eastAsia="Times New Roman" w:hAnsi="Times New Roman" w:cs="Times New Roman"/>
          <w:sz w:val="24"/>
          <w:szCs w:val="24"/>
          <w:lang w:val="en-US" w:eastAsia="ru-RU"/>
        </w:rPr>
        <w:t xml:space="preserve">International Conference of </w:t>
      </w:r>
      <w:proofErr w:type="spellStart"/>
      <w:r w:rsidRPr="00852214">
        <w:rPr>
          <w:rFonts w:ascii="Times New Roman" w:eastAsia="Times New Roman" w:hAnsi="Times New Roman" w:cs="Times New Roman"/>
          <w:sz w:val="24"/>
          <w:szCs w:val="24"/>
          <w:lang w:val="en-US" w:eastAsia="ru-RU"/>
        </w:rPr>
        <w:t>Labour</w:t>
      </w:r>
      <w:proofErr w:type="spellEnd"/>
      <w:r w:rsidRPr="00852214">
        <w:rPr>
          <w:rFonts w:ascii="Times New Roman" w:eastAsia="Times New Roman" w:hAnsi="Times New Roman" w:cs="Times New Roman"/>
          <w:sz w:val="24"/>
          <w:szCs w:val="24"/>
          <w:lang w:val="en-US" w:eastAsia="ru-RU"/>
        </w:rPr>
        <w:t xml:space="preserve"> Statisticians (2018) 20th.</w:t>
      </w:r>
      <w:proofErr w:type="gramEnd"/>
      <w:r w:rsidRPr="00852214">
        <w:rPr>
          <w:rFonts w:ascii="Times New Roman" w:eastAsia="Times New Roman" w:hAnsi="Times New Roman" w:cs="Times New Roman"/>
          <w:sz w:val="24"/>
          <w:szCs w:val="24"/>
          <w:lang w:val="en-US" w:eastAsia="ru-RU"/>
        </w:rPr>
        <w:t xml:space="preserve"> Session</w:t>
      </w:r>
      <w:proofErr w:type="gramStart"/>
      <w:r w:rsidRPr="00852214">
        <w:rPr>
          <w:rFonts w:ascii="Times New Roman" w:eastAsia="Times New Roman" w:hAnsi="Times New Roman" w:cs="Times New Roman"/>
          <w:sz w:val="24"/>
          <w:szCs w:val="24"/>
          <w:lang w:val="en-US" w:eastAsia="ru-RU"/>
        </w:rPr>
        <w:t xml:space="preserve">,  </w:t>
      </w:r>
      <w:proofErr w:type="gramEnd"/>
      <w:r w:rsidRPr="00852214">
        <w:rPr>
          <w:rFonts w:ascii="Times New Roman" w:eastAsia="Times New Roman" w:hAnsi="Times New Roman" w:cs="Times New Roman"/>
          <w:sz w:val="24"/>
          <w:szCs w:val="24"/>
          <w:lang w:eastAsia="ru-RU"/>
        </w:rPr>
        <w:fldChar w:fldCharType="begin"/>
      </w:r>
      <w:r w:rsidRPr="00852214">
        <w:rPr>
          <w:rFonts w:ascii="Times New Roman" w:eastAsia="Times New Roman" w:hAnsi="Times New Roman" w:cs="Times New Roman"/>
          <w:sz w:val="24"/>
          <w:szCs w:val="24"/>
          <w:lang w:val="en-US" w:eastAsia="ru-RU"/>
        </w:rPr>
        <w:instrText xml:space="preserve"> HYPERLINK "http://www.ilo.org/20thicls" </w:instrText>
      </w:r>
      <w:r w:rsidRPr="00852214">
        <w:rPr>
          <w:rFonts w:ascii="Times New Roman" w:eastAsia="Times New Roman" w:hAnsi="Times New Roman" w:cs="Times New Roman"/>
          <w:sz w:val="24"/>
          <w:szCs w:val="24"/>
          <w:lang w:eastAsia="ru-RU"/>
        </w:rPr>
        <w:fldChar w:fldCharType="separate"/>
      </w:r>
      <w:r w:rsidRPr="00852214">
        <w:rPr>
          <w:rFonts w:ascii="Times New Roman" w:eastAsia="Times New Roman" w:hAnsi="Times New Roman" w:cs="Times New Roman"/>
          <w:sz w:val="24"/>
          <w:szCs w:val="24"/>
          <w:lang w:val="en-US" w:eastAsia="ru-RU"/>
        </w:rPr>
        <w:t>www.ilo.org/20thicls</w:t>
      </w:r>
      <w:r w:rsidRPr="00852214">
        <w:rPr>
          <w:rFonts w:ascii="Times New Roman" w:eastAsia="Times New Roman" w:hAnsi="Times New Roman" w:cs="Times New Roman"/>
          <w:sz w:val="24"/>
          <w:szCs w:val="24"/>
          <w:lang w:eastAsia="ru-RU"/>
        </w:rPr>
        <w:fldChar w:fldCharType="end"/>
      </w:r>
      <w:r w:rsidRPr="00852214">
        <w:rPr>
          <w:rFonts w:ascii="Times New Roman" w:eastAsia="Times New Roman" w:hAnsi="Times New Roman" w:cs="Times New Roman"/>
          <w:sz w:val="24"/>
          <w:szCs w:val="24"/>
          <w:lang w:val="en-US" w:eastAsia="ru-RU"/>
        </w:rPr>
        <w:t xml:space="preserve"> </w:t>
      </w:r>
    </w:p>
    <w:p w:rsidR="000C6392" w:rsidRPr="00852214" w:rsidRDefault="000C6392" w:rsidP="00852214">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val="en-US" w:eastAsia="ru-RU"/>
        </w:rPr>
      </w:pPr>
      <w:proofErr w:type="gramStart"/>
      <w:r w:rsidRPr="00852214">
        <w:rPr>
          <w:rFonts w:ascii="Times New Roman" w:eastAsia="Times New Roman" w:hAnsi="Times New Roman" w:cs="Times New Roman"/>
          <w:sz w:val="24"/>
          <w:szCs w:val="24"/>
          <w:lang w:val="en-US" w:eastAsia="ru-RU"/>
        </w:rPr>
        <w:t xml:space="preserve">International </w:t>
      </w:r>
      <w:proofErr w:type="spellStart"/>
      <w:r w:rsidRPr="00852214">
        <w:rPr>
          <w:rFonts w:ascii="Times New Roman" w:eastAsia="Times New Roman" w:hAnsi="Times New Roman" w:cs="Times New Roman"/>
          <w:sz w:val="24"/>
          <w:szCs w:val="24"/>
          <w:lang w:val="en-US" w:eastAsia="ru-RU"/>
        </w:rPr>
        <w:t>Labour</w:t>
      </w:r>
      <w:proofErr w:type="spellEnd"/>
      <w:r w:rsidRPr="00852214">
        <w:rPr>
          <w:rFonts w:ascii="Times New Roman" w:eastAsia="Times New Roman" w:hAnsi="Times New Roman" w:cs="Times New Roman"/>
          <w:sz w:val="24"/>
          <w:szCs w:val="24"/>
          <w:lang w:val="en-US" w:eastAsia="ru-RU"/>
        </w:rPr>
        <w:t xml:space="preserve"> Office (ILO).</w:t>
      </w:r>
      <w:proofErr w:type="gramEnd"/>
      <w:r w:rsidRPr="00852214">
        <w:rPr>
          <w:rFonts w:ascii="Times New Roman" w:eastAsia="Times New Roman" w:hAnsi="Times New Roman" w:cs="Times New Roman"/>
          <w:sz w:val="24"/>
          <w:szCs w:val="24"/>
          <w:lang w:val="en-US" w:eastAsia="ru-RU"/>
        </w:rPr>
        <w:t xml:space="preserve"> 2014. </w:t>
      </w:r>
      <w:hyperlink r:id="rId11" w:history="1">
        <w:r w:rsidRPr="00852214">
          <w:rPr>
            <w:rFonts w:ascii="Times New Roman" w:eastAsia="Times New Roman" w:hAnsi="Times New Roman" w:cs="Times New Roman"/>
            <w:sz w:val="24"/>
            <w:szCs w:val="24"/>
            <w:lang w:val="en-US" w:eastAsia="ru-RU"/>
          </w:rPr>
          <w:t>Global Employment Trends 2014: The risk of a jobless recovery</w:t>
        </w:r>
      </w:hyperlink>
      <w:r w:rsidRPr="00852214">
        <w:rPr>
          <w:rFonts w:ascii="Times New Roman" w:eastAsia="Times New Roman" w:hAnsi="Times New Roman" w:cs="Times New Roman"/>
          <w:sz w:val="24"/>
          <w:szCs w:val="24"/>
          <w:lang w:val="en-US" w:eastAsia="ru-RU"/>
        </w:rPr>
        <w:t xml:space="preserve">. Geneva. </w:t>
      </w:r>
      <w:proofErr w:type="gramStart"/>
      <w:r w:rsidRPr="00852214">
        <w:rPr>
          <w:rFonts w:ascii="Times New Roman" w:eastAsia="Times New Roman" w:hAnsi="Times New Roman" w:cs="Times New Roman"/>
          <w:sz w:val="24"/>
          <w:szCs w:val="24"/>
          <w:lang w:val="en-US" w:eastAsia="ru-RU"/>
        </w:rPr>
        <w:t>ILO.</w:t>
      </w:r>
      <w:bookmarkEnd w:id="0"/>
      <w:bookmarkEnd w:id="1"/>
      <w:proofErr w:type="gramEnd"/>
    </w:p>
    <w:p w:rsidR="000C6392" w:rsidRPr="00852214" w:rsidRDefault="000C6392" w:rsidP="00852214">
      <w:pPr>
        <w:pStyle w:val="NonNumbered"/>
        <w:spacing w:before="100" w:beforeAutospacing="1" w:after="100" w:afterAutospacing="1" w:line="276" w:lineRule="auto"/>
        <w:ind w:left="0"/>
        <w:rPr>
          <w:rFonts w:ascii="Times New Roman" w:hAnsi="Times New Roman"/>
          <w:sz w:val="24"/>
          <w:szCs w:val="24"/>
          <w:lang w:eastAsia="ru-RU"/>
        </w:rPr>
      </w:pPr>
      <w:r w:rsidRPr="00852214">
        <w:rPr>
          <w:rFonts w:ascii="Times New Roman" w:hAnsi="Times New Roman"/>
          <w:sz w:val="24"/>
          <w:szCs w:val="24"/>
          <w:lang w:eastAsia="ru-RU"/>
        </w:rPr>
        <w:t xml:space="preserve">—. 2006. </w:t>
      </w:r>
      <w:hyperlink r:id="rId12" w:history="1">
        <w:r w:rsidRPr="00852214">
          <w:rPr>
            <w:rFonts w:ascii="Times New Roman" w:hAnsi="Times New Roman"/>
            <w:sz w:val="24"/>
            <w:szCs w:val="24"/>
            <w:lang w:eastAsia="ru-RU"/>
          </w:rPr>
          <w:t>Freedom of Association, Digest of decisions and principles of the Freedom of Association Committee of the Governing Body of the ILO</w:t>
        </w:r>
      </w:hyperlink>
      <w:r w:rsidRPr="00852214">
        <w:rPr>
          <w:rFonts w:ascii="Times New Roman" w:hAnsi="Times New Roman"/>
          <w:sz w:val="24"/>
          <w:szCs w:val="24"/>
          <w:lang w:eastAsia="ru-RU"/>
        </w:rPr>
        <w:t>, fifth (revised) edition, Geneva.</w:t>
      </w:r>
    </w:p>
    <w:p w:rsidR="000C6392" w:rsidRPr="00852214" w:rsidRDefault="000C6392" w:rsidP="00852214">
      <w:pPr>
        <w:pStyle w:val="NonNumbered"/>
        <w:spacing w:before="100" w:beforeAutospacing="1" w:after="100" w:afterAutospacing="1" w:line="276" w:lineRule="auto"/>
        <w:ind w:left="0"/>
        <w:rPr>
          <w:rFonts w:ascii="Times New Roman" w:hAnsi="Times New Roman"/>
          <w:sz w:val="24"/>
          <w:szCs w:val="24"/>
          <w:lang w:eastAsia="ru-RU"/>
        </w:rPr>
      </w:pPr>
      <w:proofErr w:type="spellStart"/>
      <w:r w:rsidRPr="00852214">
        <w:rPr>
          <w:rFonts w:ascii="Times New Roman" w:hAnsi="Times New Roman"/>
          <w:sz w:val="24"/>
          <w:szCs w:val="24"/>
          <w:lang w:eastAsia="ru-RU"/>
        </w:rPr>
        <w:t>Kucera</w:t>
      </w:r>
      <w:proofErr w:type="spellEnd"/>
      <w:r w:rsidRPr="00852214">
        <w:rPr>
          <w:rFonts w:ascii="Times New Roman" w:hAnsi="Times New Roman"/>
          <w:sz w:val="24"/>
          <w:szCs w:val="24"/>
          <w:lang w:eastAsia="ru-RU"/>
        </w:rPr>
        <w:t xml:space="preserve">, D. 2002. </w:t>
      </w:r>
      <w:hyperlink r:id="rId13" w:history="1">
        <w:r w:rsidRPr="00852214">
          <w:rPr>
            <w:rFonts w:ascii="Times New Roman" w:hAnsi="Times New Roman"/>
            <w:sz w:val="24"/>
            <w:szCs w:val="24"/>
            <w:lang w:eastAsia="ru-RU"/>
          </w:rPr>
          <w:t xml:space="preserve">“Core </w:t>
        </w:r>
        <w:proofErr w:type="spellStart"/>
        <w:r w:rsidRPr="00852214">
          <w:rPr>
            <w:rFonts w:ascii="Times New Roman" w:hAnsi="Times New Roman"/>
            <w:sz w:val="24"/>
            <w:szCs w:val="24"/>
            <w:lang w:eastAsia="ru-RU"/>
          </w:rPr>
          <w:t>Labour</w:t>
        </w:r>
        <w:proofErr w:type="spellEnd"/>
        <w:r w:rsidRPr="00852214">
          <w:rPr>
            <w:rFonts w:ascii="Times New Roman" w:hAnsi="Times New Roman"/>
            <w:sz w:val="24"/>
            <w:szCs w:val="24"/>
            <w:lang w:eastAsia="ru-RU"/>
          </w:rPr>
          <w:t xml:space="preserve"> Standards and Foreign Direct Investment”</w:t>
        </w:r>
      </w:hyperlink>
      <w:r w:rsidRPr="00852214">
        <w:rPr>
          <w:rFonts w:ascii="Times New Roman" w:hAnsi="Times New Roman"/>
          <w:sz w:val="24"/>
          <w:szCs w:val="24"/>
          <w:lang w:eastAsia="ru-RU"/>
        </w:rPr>
        <w:t xml:space="preserve">, in International </w:t>
      </w:r>
      <w:proofErr w:type="spellStart"/>
      <w:r w:rsidRPr="00852214">
        <w:rPr>
          <w:rFonts w:ascii="Times New Roman" w:hAnsi="Times New Roman"/>
          <w:sz w:val="24"/>
          <w:szCs w:val="24"/>
          <w:lang w:eastAsia="ru-RU"/>
        </w:rPr>
        <w:t>Labour</w:t>
      </w:r>
      <w:proofErr w:type="spellEnd"/>
      <w:r w:rsidRPr="00852214">
        <w:rPr>
          <w:rFonts w:ascii="Times New Roman" w:hAnsi="Times New Roman"/>
          <w:sz w:val="24"/>
          <w:szCs w:val="24"/>
          <w:lang w:eastAsia="ru-RU"/>
        </w:rPr>
        <w:t xml:space="preserve"> Review, 141(1</w:t>
      </w:r>
      <w:r w:rsidRPr="00852214">
        <w:rPr>
          <w:rFonts w:ascii="Times New Roman" w:hAnsi="Times New Roman"/>
          <w:sz w:val="24"/>
          <w:szCs w:val="24"/>
          <w:lang w:eastAsia="ru-RU"/>
        </w:rPr>
        <w:noBreakHyphen/>
        <w:t>2):31-69.</w:t>
      </w:r>
    </w:p>
    <w:p w:rsidR="000C6392" w:rsidRPr="00852214" w:rsidRDefault="000C6392" w:rsidP="00852214">
      <w:pPr>
        <w:pStyle w:val="NonNumbered"/>
        <w:spacing w:before="100" w:beforeAutospacing="1" w:after="100" w:afterAutospacing="1" w:line="276" w:lineRule="auto"/>
        <w:ind w:left="0"/>
        <w:rPr>
          <w:rFonts w:ascii="Times New Roman" w:hAnsi="Times New Roman"/>
          <w:sz w:val="24"/>
          <w:szCs w:val="24"/>
          <w:lang w:eastAsia="ru-RU"/>
        </w:rPr>
      </w:pPr>
      <w:r w:rsidRPr="00852214">
        <w:rPr>
          <w:rFonts w:ascii="Times New Roman" w:hAnsi="Times New Roman"/>
          <w:sz w:val="24"/>
          <w:szCs w:val="24"/>
          <w:lang w:eastAsia="ru-RU"/>
        </w:rPr>
        <w:t xml:space="preserve">—. 2007. </w:t>
      </w:r>
      <w:hyperlink r:id="rId14" w:history="1">
        <w:r w:rsidRPr="00852214">
          <w:rPr>
            <w:rFonts w:ascii="Times New Roman" w:hAnsi="Times New Roman"/>
            <w:sz w:val="24"/>
            <w:szCs w:val="24"/>
            <w:lang w:eastAsia="ru-RU"/>
          </w:rPr>
          <w:t>“Measuring Trade Union Rights by Violations of These Rights”</w:t>
        </w:r>
      </w:hyperlink>
      <w:r w:rsidRPr="00852214">
        <w:rPr>
          <w:rFonts w:ascii="Times New Roman" w:hAnsi="Times New Roman"/>
          <w:sz w:val="24"/>
          <w:szCs w:val="24"/>
          <w:lang w:eastAsia="ru-RU"/>
        </w:rPr>
        <w:t>, in D. </w:t>
      </w:r>
      <w:proofErr w:type="spellStart"/>
      <w:r w:rsidRPr="00852214">
        <w:rPr>
          <w:rFonts w:ascii="Times New Roman" w:hAnsi="Times New Roman"/>
          <w:sz w:val="24"/>
          <w:szCs w:val="24"/>
          <w:lang w:eastAsia="ru-RU"/>
        </w:rPr>
        <w:t>Kucera</w:t>
      </w:r>
      <w:proofErr w:type="spellEnd"/>
      <w:r w:rsidRPr="00852214">
        <w:rPr>
          <w:rFonts w:ascii="Times New Roman" w:hAnsi="Times New Roman"/>
          <w:sz w:val="24"/>
          <w:szCs w:val="24"/>
          <w:lang w:eastAsia="ru-RU"/>
        </w:rPr>
        <w:t xml:space="preserve"> (ed.): Qualitative indicators of </w:t>
      </w:r>
      <w:proofErr w:type="spellStart"/>
      <w:r w:rsidRPr="00852214">
        <w:rPr>
          <w:rFonts w:ascii="Times New Roman" w:hAnsi="Times New Roman"/>
          <w:sz w:val="24"/>
          <w:szCs w:val="24"/>
          <w:lang w:eastAsia="ru-RU"/>
        </w:rPr>
        <w:t>labour</w:t>
      </w:r>
      <w:proofErr w:type="spellEnd"/>
      <w:r w:rsidRPr="00852214">
        <w:rPr>
          <w:rFonts w:ascii="Times New Roman" w:hAnsi="Times New Roman"/>
          <w:sz w:val="24"/>
          <w:szCs w:val="24"/>
          <w:lang w:eastAsia="ru-RU"/>
        </w:rPr>
        <w:t xml:space="preserve"> standards: Comparative methods and applications (Dordrecht, Springer), pp. 145</w:t>
      </w:r>
      <w:r w:rsidRPr="00852214">
        <w:rPr>
          <w:rFonts w:ascii="Times New Roman" w:hAnsi="Times New Roman"/>
          <w:sz w:val="24"/>
          <w:szCs w:val="24"/>
          <w:lang w:eastAsia="ru-RU"/>
        </w:rPr>
        <w:noBreakHyphen/>
        <w:t>82.</w:t>
      </w:r>
    </w:p>
    <w:p w:rsidR="000C6392" w:rsidRPr="00852214" w:rsidRDefault="000C6392" w:rsidP="00852214">
      <w:pPr>
        <w:spacing w:before="100" w:beforeAutospacing="1" w:after="100" w:afterAutospacing="1" w:line="276" w:lineRule="auto"/>
        <w:jc w:val="both"/>
        <w:rPr>
          <w:rFonts w:ascii="Times New Roman" w:eastAsia="Times New Roman" w:hAnsi="Times New Roman" w:cs="Times New Roman"/>
          <w:sz w:val="24"/>
          <w:szCs w:val="24"/>
          <w:lang w:val="en-US" w:eastAsia="ru-RU"/>
        </w:rPr>
      </w:pPr>
      <w:r w:rsidRPr="00852214">
        <w:rPr>
          <w:rFonts w:ascii="Times New Roman" w:eastAsia="Times New Roman" w:hAnsi="Times New Roman" w:cs="Times New Roman"/>
          <w:sz w:val="24"/>
          <w:szCs w:val="24"/>
          <w:lang w:val="en-US" w:eastAsia="ru-RU"/>
        </w:rPr>
        <w:t xml:space="preserve">Mosley, L., Uno, S. 2007. </w:t>
      </w:r>
      <w:hyperlink r:id="rId15" w:history="1">
        <w:r w:rsidRPr="00852214">
          <w:rPr>
            <w:rFonts w:ascii="Times New Roman" w:eastAsia="Times New Roman" w:hAnsi="Times New Roman" w:cs="Times New Roman"/>
            <w:sz w:val="24"/>
            <w:szCs w:val="24"/>
            <w:lang w:val="en-US" w:eastAsia="ru-RU"/>
          </w:rPr>
          <w:t>“Racing to the Bottom or Climbing to the Top? Economic Globalization and Collective Labor Rights”</w:t>
        </w:r>
      </w:hyperlink>
      <w:r w:rsidRPr="00852214">
        <w:rPr>
          <w:rFonts w:ascii="Times New Roman" w:eastAsia="Times New Roman" w:hAnsi="Times New Roman" w:cs="Times New Roman"/>
          <w:sz w:val="24"/>
          <w:szCs w:val="24"/>
          <w:lang w:val="en-US" w:eastAsia="ru-RU"/>
        </w:rPr>
        <w:t>, Comparative Political Studies 40(8): 923–948.</w:t>
      </w:r>
    </w:p>
    <w:p w:rsidR="000C6392" w:rsidRPr="00852214" w:rsidRDefault="000C6392" w:rsidP="00852214">
      <w:pPr>
        <w:pStyle w:val="NonNumbered"/>
        <w:spacing w:before="100" w:beforeAutospacing="1" w:after="100" w:afterAutospacing="1" w:line="276" w:lineRule="auto"/>
        <w:ind w:left="0"/>
        <w:rPr>
          <w:rFonts w:ascii="Times New Roman" w:hAnsi="Times New Roman"/>
          <w:sz w:val="24"/>
          <w:szCs w:val="24"/>
          <w:lang w:eastAsia="ru-RU"/>
        </w:rPr>
      </w:pPr>
      <w:proofErr w:type="gramStart"/>
      <w:r w:rsidRPr="00852214">
        <w:rPr>
          <w:rFonts w:ascii="Times New Roman" w:hAnsi="Times New Roman"/>
          <w:sz w:val="24"/>
          <w:szCs w:val="24"/>
          <w:lang w:eastAsia="ru-RU"/>
        </w:rPr>
        <w:t xml:space="preserve">Peels, R., </w:t>
      </w:r>
      <w:proofErr w:type="spellStart"/>
      <w:r w:rsidRPr="00852214">
        <w:rPr>
          <w:rFonts w:ascii="Times New Roman" w:hAnsi="Times New Roman"/>
          <w:sz w:val="24"/>
          <w:szCs w:val="24"/>
          <w:lang w:eastAsia="ru-RU"/>
        </w:rPr>
        <w:t>Develtere</w:t>
      </w:r>
      <w:proofErr w:type="spellEnd"/>
      <w:r w:rsidRPr="00852214">
        <w:rPr>
          <w:rFonts w:ascii="Times New Roman" w:hAnsi="Times New Roman"/>
          <w:sz w:val="24"/>
          <w:szCs w:val="24"/>
          <w:lang w:eastAsia="ru-RU"/>
        </w:rPr>
        <w:t>, P. 2009.</w:t>
      </w:r>
      <w:proofErr w:type="gramEnd"/>
      <w:r w:rsidRPr="00852214">
        <w:rPr>
          <w:rFonts w:ascii="Times New Roman" w:hAnsi="Times New Roman"/>
          <w:sz w:val="24"/>
          <w:szCs w:val="24"/>
          <w:lang w:eastAsia="ru-RU"/>
        </w:rPr>
        <w:t xml:space="preserve"> </w:t>
      </w:r>
      <w:hyperlink r:id="rId16" w:history="1">
        <w:r w:rsidRPr="00852214">
          <w:rPr>
            <w:rFonts w:ascii="Times New Roman" w:hAnsi="Times New Roman"/>
            <w:sz w:val="24"/>
            <w:szCs w:val="24"/>
            <w:lang w:eastAsia="ru-RU"/>
          </w:rPr>
          <w:t>“Civil Society Involvement in International Development Cooperation: In Search for Data”</w:t>
        </w:r>
      </w:hyperlink>
      <w:r w:rsidRPr="00852214">
        <w:rPr>
          <w:rFonts w:ascii="Times New Roman" w:hAnsi="Times New Roman"/>
          <w:sz w:val="24"/>
          <w:szCs w:val="24"/>
          <w:lang w:eastAsia="ru-RU"/>
        </w:rPr>
        <w:t>, Social Indicators Research 93:331–349</w:t>
      </w:r>
    </w:p>
    <w:p w:rsidR="000C6392" w:rsidRPr="00852214" w:rsidRDefault="000C6392" w:rsidP="00852214">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ru-RU"/>
        </w:rPr>
      </w:pPr>
      <w:bookmarkStart w:id="2" w:name="_Toc523831204"/>
      <w:bookmarkStart w:id="3" w:name="_Toc523910463"/>
      <w:proofErr w:type="gramStart"/>
      <w:r w:rsidRPr="00852214">
        <w:rPr>
          <w:rFonts w:ascii="Times New Roman" w:eastAsia="Times New Roman" w:hAnsi="Times New Roman" w:cs="Times New Roman"/>
          <w:sz w:val="24"/>
          <w:szCs w:val="24"/>
          <w:lang w:val="en-US" w:eastAsia="ru-RU"/>
        </w:rPr>
        <w:t xml:space="preserve">Sari, D., </w:t>
      </w:r>
      <w:proofErr w:type="spellStart"/>
      <w:r w:rsidRPr="00852214">
        <w:rPr>
          <w:rFonts w:ascii="Times New Roman" w:eastAsia="Times New Roman" w:hAnsi="Times New Roman" w:cs="Times New Roman"/>
          <w:sz w:val="24"/>
          <w:szCs w:val="24"/>
          <w:lang w:val="en-US" w:eastAsia="ru-RU"/>
        </w:rPr>
        <w:t>Kucera</w:t>
      </w:r>
      <w:proofErr w:type="spellEnd"/>
      <w:r w:rsidRPr="00852214">
        <w:rPr>
          <w:rFonts w:ascii="Times New Roman" w:eastAsia="Times New Roman" w:hAnsi="Times New Roman" w:cs="Times New Roman"/>
          <w:sz w:val="24"/>
          <w:szCs w:val="24"/>
          <w:lang w:val="en-US" w:eastAsia="ru-RU"/>
        </w:rPr>
        <w:t>, D. 2011.</w:t>
      </w:r>
      <w:proofErr w:type="gramEnd"/>
      <w:r w:rsidRPr="00852214">
        <w:rPr>
          <w:rFonts w:ascii="Times New Roman" w:eastAsia="Times New Roman" w:hAnsi="Times New Roman" w:cs="Times New Roman"/>
          <w:sz w:val="24"/>
          <w:szCs w:val="24"/>
          <w:lang w:val="en-US" w:eastAsia="ru-RU"/>
        </w:rPr>
        <w:t xml:space="preserve"> </w:t>
      </w:r>
      <w:hyperlink r:id="rId17" w:history="1">
        <w:proofErr w:type="gramStart"/>
        <w:r w:rsidRPr="00852214">
          <w:rPr>
            <w:rFonts w:ascii="Times New Roman" w:eastAsia="Times New Roman" w:hAnsi="Times New Roman" w:cs="Times New Roman"/>
            <w:sz w:val="24"/>
            <w:szCs w:val="24"/>
            <w:lang w:val="en-US" w:eastAsia="ru-RU"/>
          </w:rPr>
          <w:t>Measuring progress towards the application of freedom of association and collective bargaining rights: A tabular presentation of the findings of the ILO supervisory system,</w:t>
        </w:r>
      </w:hyperlink>
      <w:r w:rsidRPr="00852214">
        <w:rPr>
          <w:rFonts w:ascii="Times New Roman" w:eastAsia="Times New Roman" w:hAnsi="Times New Roman" w:cs="Times New Roman"/>
          <w:sz w:val="24"/>
          <w:szCs w:val="24"/>
          <w:lang w:val="en-US" w:eastAsia="ru-RU"/>
        </w:rPr>
        <w:t xml:space="preserve"> Working Paper No. 99.</w:t>
      </w:r>
      <w:proofErr w:type="gramEnd"/>
      <w:r w:rsidRPr="00852214">
        <w:rPr>
          <w:rFonts w:ascii="Times New Roman" w:eastAsia="Times New Roman" w:hAnsi="Times New Roman" w:cs="Times New Roman"/>
          <w:sz w:val="24"/>
          <w:szCs w:val="24"/>
          <w:lang w:val="en-US" w:eastAsia="ru-RU"/>
        </w:rPr>
        <w:t xml:space="preserve"> </w:t>
      </w:r>
      <w:proofErr w:type="spellStart"/>
      <w:r w:rsidRPr="00852214">
        <w:rPr>
          <w:rFonts w:ascii="Times New Roman" w:eastAsia="Times New Roman" w:hAnsi="Times New Roman" w:cs="Times New Roman"/>
          <w:sz w:val="24"/>
          <w:szCs w:val="24"/>
          <w:lang w:eastAsia="ru-RU"/>
        </w:rPr>
        <w:t>Geneva</w:t>
      </w:r>
      <w:proofErr w:type="spellEnd"/>
      <w:r w:rsidRPr="00852214">
        <w:rPr>
          <w:rFonts w:ascii="Times New Roman" w:eastAsia="Times New Roman" w:hAnsi="Times New Roman" w:cs="Times New Roman"/>
          <w:sz w:val="24"/>
          <w:szCs w:val="24"/>
          <w:lang w:eastAsia="ru-RU"/>
        </w:rPr>
        <w:t>. ILO.</w:t>
      </w:r>
      <w:bookmarkEnd w:id="2"/>
      <w:bookmarkEnd w:id="3"/>
    </w:p>
    <w:p w:rsidR="00DA017F" w:rsidRDefault="00DA017F" w:rsidP="00DA017F">
      <w:pPr>
        <w:spacing w:before="100" w:beforeAutospacing="1" w:after="100" w:afterAutospacing="1" w:line="276" w:lineRule="auto"/>
        <w:jc w:val="both"/>
        <w:rPr>
          <w:rFonts w:ascii="Times New Roman" w:hAnsi="Times New Roman" w:cs="Times New Roman"/>
          <w:b/>
          <w:sz w:val="24"/>
          <w:szCs w:val="24"/>
        </w:rPr>
      </w:pPr>
    </w:p>
    <w:p w:rsidR="00DA017F" w:rsidRPr="00B27A0B" w:rsidRDefault="00DA017F" w:rsidP="00DA017F">
      <w:pPr>
        <w:pBdr>
          <w:bottom w:val="single" w:sz="12" w:space="4" w:color="DDDDDD"/>
        </w:pBdr>
        <w:spacing w:before="100" w:beforeAutospacing="1" w:after="100" w:afterAutospacing="1" w:line="276" w:lineRule="auto"/>
        <w:jc w:val="both"/>
        <w:rPr>
          <w:rFonts w:ascii="Times New Roman" w:hAnsi="Times New Roman" w:cs="Times New Roman"/>
          <w:color w:val="0070C0"/>
          <w:sz w:val="24"/>
          <w:szCs w:val="24"/>
        </w:rPr>
      </w:pPr>
      <w:r>
        <w:rPr>
          <w:rFonts w:ascii="Times New Roman" w:hAnsi="Times New Roman" w:cs="Times New Roman"/>
          <w:b/>
          <w:color w:val="0070C0"/>
          <w:sz w:val="24"/>
          <w:szCs w:val="24"/>
        </w:rPr>
        <w:t>Связанные показатели</w:t>
      </w:r>
      <w:r w:rsidRPr="00A218FA">
        <w:rPr>
          <w:rFonts w:ascii="Times New Roman" w:hAnsi="Times New Roman" w:cs="Times New Roman"/>
          <w:b/>
          <w:color w:val="0070C0"/>
          <w:sz w:val="24"/>
          <w:szCs w:val="24"/>
        </w:rPr>
        <w:t xml:space="preserve"> </w:t>
      </w:r>
    </w:p>
    <w:p w:rsidR="00DA017F" w:rsidRPr="00B27A0B" w:rsidRDefault="00DA017F" w:rsidP="00DA017F">
      <w:pPr>
        <w:spacing w:before="100" w:beforeAutospacing="1" w:after="100" w:afterAutospacing="1"/>
        <w:jc w:val="both"/>
        <w:rPr>
          <w:rFonts w:ascii="Times New Roman" w:hAnsi="Times New Roman" w:cs="Times New Roman"/>
          <w:b/>
          <w:sz w:val="24"/>
          <w:szCs w:val="24"/>
        </w:rPr>
      </w:pPr>
    </w:p>
    <w:p w:rsidR="00852214" w:rsidRPr="00852214" w:rsidRDefault="000C6392">
      <w:pPr>
        <w:spacing w:before="100" w:beforeAutospacing="1" w:after="100" w:afterAutospacing="1" w:line="276" w:lineRule="auto"/>
        <w:jc w:val="both"/>
        <w:rPr>
          <w:rFonts w:ascii="Times New Roman" w:eastAsia="Times New Roman" w:hAnsi="Times New Roman" w:cs="Times New Roman"/>
          <w:sz w:val="24"/>
          <w:szCs w:val="24"/>
          <w:lang w:eastAsia="ru-RU"/>
        </w:rPr>
      </w:pPr>
      <w:r w:rsidRPr="00852214">
        <w:rPr>
          <w:rFonts w:ascii="Times New Roman" w:eastAsia="Times New Roman" w:hAnsi="Times New Roman" w:cs="Times New Roman"/>
          <w:sz w:val="24"/>
          <w:szCs w:val="24"/>
          <w:lang w:eastAsia="ru-RU"/>
        </w:rPr>
        <w:t xml:space="preserve">Этот показатель </w:t>
      </w:r>
      <w:r w:rsidR="009D5927">
        <w:rPr>
          <w:rFonts w:ascii="Times New Roman" w:eastAsia="Times New Roman" w:hAnsi="Times New Roman" w:cs="Times New Roman"/>
          <w:sz w:val="24"/>
          <w:szCs w:val="24"/>
          <w:lang w:eastAsia="ru-RU"/>
        </w:rPr>
        <w:t>связан</w:t>
      </w:r>
      <w:r w:rsidRPr="00852214">
        <w:rPr>
          <w:rFonts w:ascii="Times New Roman" w:eastAsia="Times New Roman" w:hAnsi="Times New Roman" w:cs="Times New Roman"/>
          <w:sz w:val="24"/>
          <w:szCs w:val="24"/>
          <w:lang w:eastAsia="ru-RU"/>
        </w:rPr>
        <w:t xml:space="preserve"> с 8.8.1 и 8.b.1; 16.2.2; 16.10.1; 16.a.1; 16.b.1</w:t>
      </w:r>
      <w:bookmarkStart w:id="4" w:name="_GoBack"/>
      <w:bookmarkEnd w:id="4"/>
    </w:p>
    <w:sectPr w:rsidR="00852214" w:rsidRPr="00852214">
      <w:headerReference w:type="default"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214" w:rsidRDefault="00852214" w:rsidP="00F07DB2">
      <w:pPr>
        <w:spacing w:after="0" w:line="240" w:lineRule="auto"/>
      </w:pPr>
      <w:r>
        <w:separator/>
      </w:r>
    </w:p>
  </w:endnote>
  <w:endnote w:type="continuationSeparator" w:id="0">
    <w:p w:rsidR="00852214" w:rsidRDefault="00852214" w:rsidP="00F0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088374"/>
      <w:docPartObj>
        <w:docPartGallery w:val="Page Numbers (Bottom of Page)"/>
        <w:docPartUnique/>
      </w:docPartObj>
    </w:sdtPr>
    <w:sdtEndPr/>
    <w:sdtContent>
      <w:p w:rsidR="00852214" w:rsidRDefault="00852214">
        <w:pPr>
          <w:pStyle w:val="af0"/>
          <w:jc w:val="center"/>
        </w:pPr>
        <w:r>
          <w:fldChar w:fldCharType="begin"/>
        </w:r>
        <w:r>
          <w:instrText>PAGE   \* MERGEFORMAT</w:instrText>
        </w:r>
        <w:r>
          <w:fldChar w:fldCharType="separate"/>
        </w:r>
        <w:r w:rsidR="00DA017F" w:rsidRPr="00DA017F">
          <w:rPr>
            <w:noProof/>
            <w:lang w:val="ru-RU"/>
          </w:rPr>
          <w:t>26</w:t>
        </w:r>
        <w:r>
          <w:fldChar w:fldCharType="end"/>
        </w:r>
      </w:p>
    </w:sdtContent>
  </w:sdt>
  <w:p w:rsidR="00852214" w:rsidRDefault="0085221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214" w:rsidRDefault="00852214" w:rsidP="00F07DB2">
      <w:pPr>
        <w:spacing w:after="0" w:line="240" w:lineRule="auto"/>
      </w:pPr>
      <w:r>
        <w:separator/>
      </w:r>
    </w:p>
  </w:footnote>
  <w:footnote w:type="continuationSeparator" w:id="0">
    <w:p w:rsidR="00852214" w:rsidRDefault="00852214" w:rsidP="00F07DB2">
      <w:pPr>
        <w:spacing w:after="0" w:line="240" w:lineRule="auto"/>
      </w:pPr>
      <w:r>
        <w:continuationSeparator/>
      </w:r>
    </w:p>
  </w:footnote>
  <w:footnote w:id="1">
    <w:p w:rsidR="00852214" w:rsidRPr="00F07DB2" w:rsidRDefault="00852214">
      <w:pPr>
        <w:pStyle w:val="a4"/>
        <w:rPr>
          <w:rFonts w:ascii="Times New Roman" w:eastAsia="Times New Roman" w:hAnsi="Times New Roman" w:cs="Times New Roman"/>
          <w:lang w:eastAsia="ru-RU"/>
        </w:rPr>
      </w:pPr>
      <w:r>
        <w:rPr>
          <w:rStyle w:val="a6"/>
        </w:rPr>
        <w:footnoteRef/>
      </w:r>
      <w:r>
        <w:t xml:space="preserve"> </w:t>
      </w:r>
      <w:r w:rsidRPr="00F07DB2">
        <w:rPr>
          <w:rFonts w:ascii="Times New Roman" w:eastAsia="Times New Roman" w:hAnsi="Times New Roman" w:cs="Times New Roman"/>
          <w:lang w:eastAsia="ru-RU"/>
        </w:rPr>
        <w:t>Соответствующий орган замечаний надзорных органов МОТ: Сборник решений и принципов Комитета по свободе ассоциации Управляющего органа МОТ (МОТ, 2006 г.); Свобода ассоциации и коллективных переговоров: Общий обзор докладов о свободе ассоциации и Конвенции о праве на организацию (№ 87), 1948 года и Конвенции о праве на организацию и на ведение коллективных переговоров (№ 98) (МОТ, 1994 год)</w:t>
      </w:r>
      <w:proofErr w:type="gramStart"/>
      <w:r w:rsidRPr="00F07DB2">
        <w:rPr>
          <w:rFonts w:ascii="Times New Roman" w:eastAsia="Times New Roman" w:hAnsi="Times New Roman" w:cs="Times New Roman"/>
          <w:lang w:eastAsia="ru-RU"/>
        </w:rPr>
        <w:t xml:space="preserve"> ;</w:t>
      </w:r>
      <w:proofErr w:type="gramEnd"/>
      <w:r w:rsidRPr="00F07DB2">
        <w:rPr>
          <w:rFonts w:ascii="Times New Roman" w:eastAsia="Times New Roman" w:hAnsi="Times New Roman" w:cs="Times New Roman"/>
          <w:lang w:eastAsia="ru-RU"/>
        </w:rPr>
        <w:t xml:space="preserve"> Общий обзор основных конвенций, касающихся прав на рабочем месте в свете Декларации МОТ о социальной справедливости в целях справедливой глобализации, 2008 год (МОТ, 2012 год).</w:t>
      </w:r>
    </w:p>
  </w:footnote>
  <w:footnote w:id="2">
    <w:p w:rsidR="00852214" w:rsidRPr="00785012" w:rsidRDefault="00852214">
      <w:pPr>
        <w:pStyle w:val="a4"/>
      </w:pPr>
      <w:r>
        <w:rPr>
          <w:rStyle w:val="a6"/>
        </w:rPr>
        <w:footnoteRef/>
      </w:r>
      <w:r w:rsidRPr="00785012">
        <w:t xml:space="preserve"> </w:t>
      </w:r>
      <w:r w:rsidRPr="00785012">
        <w:rPr>
          <w:rFonts w:ascii="Times New Roman" w:eastAsia="Times New Roman" w:hAnsi="Times New Roman" w:cs="Times New Roman"/>
          <w:lang w:eastAsia="ru-RU"/>
        </w:rPr>
        <w:t>В случаях, когда нет соответствующего национального законодательства, нарушения на практике относятся к актам, совершенным в нарушение прав FACB, как это определено МОТ.</w:t>
      </w:r>
    </w:p>
  </w:footnote>
  <w:footnote w:id="3">
    <w:p w:rsidR="00852214" w:rsidRPr="00852214" w:rsidRDefault="00852214">
      <w:pPr>
        <w:pStyle w:val="a4"/>
        <w:rPr>
          <w:rFonts w:ascii="Times New Roman" w:hAnsi="Times New Roman" w:cs="Times New Roman"/>
        </w:rPr>
      </w:pPr>
      <w:r w:rsidRPr="00852214">
        <w:rPr>
          <w:rStyle w:val="a6"/>
          <w:rFonts w:ascii="Times New Roman" w:hAnsi="Times New Roman" w:cs="Times New Roman"/>
        </w:rPr>
        <w:footnoteRef/>
      </w:r>
      <w:r w:rsidRPr="00852214">
        <w:rPr>
          <w:rFonts w:ascii="Times New Roman" w:hAnsi="Times New Roman" w:cs="Times New Roman"/>
        </w:rPr>
        <w:t xml:space="preserve"> </w:t>
      </w:r>
      <w:r w:rsidRPr="00852214">
        <w:rPr>
          <w:rFonts w:ascii="Times New Roman" w:eastAsia="Times New Roman" w:hAnsi="Times New Roman" w:cs="Times New Roman"/>
          <w:lang w:eastAsia="ru-RU"/>
        </w:rPr>
        <w:t>Формула такова: (x * 10/95), где x = взвешенная ненормированная оценка для данной страны и года и ограничена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14" w:rsidRPr="00E5681C" w:rsidRDefault="00852214" w:rsidP="00E5681C">
    <w:pPr>
      <w:pStyle w:val="ae"/>
      <w:jc w:val="right"/>
      <w:rPr>
        <w:rFonts w:ascii="Times New Roman" w:hAnsi="Times New Roman" w:cs="Times New Roman"/>
        <w:i/>
        <w:sz w:val="24"/>
        <w:szCs w:val="24"/>
        <w:lang w:val="ru-RU"/>
      </w:rPr>
    </w:pPr>
    <w:r w:rsidRPr="00E5681C">
      <w:rPr>
        <w:rFonts w:ascii="Times New Roman" w:hAnsi="Times New Roman" w:cs="Times New Roman"/>
        <w:i/>
        <w:sz w:val="24"/>
        <w:szCs w:val="24"/>
        <w:lang w:val="ru-RU"/>
      </w:rPr>
      <w:t>Неофициальный перевод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6A41"/>
    <w:multiLevelType w:val="hybridMultilevel"/>
    <w:tmpl w:val="1FAC7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827D80"/>
    <w:multiLevelType w:val="hybridMultilevel"/>
    <w:tmpl w:val="BAB2B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126043"/>
    <w:multiLevelType w:val="hybridMultilevel"/>
    <w:tmpl w:val="9D6E179A"/>
    <w:lvl w:ilvl="0" w:tplc="D4184E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D31297"/>
    <w:multiLevelType w:val="hybridMultilevel"/>
    <w:tmpl w:val="0E4A9206"/>
    <w:lvl w:ilvl="0" w:tplc="F0EAC2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9866E67"/>
    <w:multiLevelType w:val="hybridMultilevel"/>
    <w:tmpl w:val="57EE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3819F0"/>
    <w:multiLevelType w:val="hybridMultilevel"/>
    <w:tmpl w:val="C5A850F0"/>
    <w:lvl w:ilvl="0" w:tplc="C9F2D1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9A2023"/>
    <w:multiLevelType w:val="hybridMultilevel"/>
    <w:tmpl w:val="478E6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05C6E8B"/>
    <w:multiLevelType w:val="hybridMultilevel"/>
    <w:tmpl w:val="F8407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9C6A96"/>
    <w:multiLevelType w:val="hybridMultilevel"/>
    <w:tmpl w:val="A59A8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AF6864"/>
    <w:multiLevelType w:val="hybridMultilevel"/>
    <w:tmpl w:val="297E4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CA6D5B"/>
    <w:multiLevelType w:val="hybridMultilevel"/>
    <w:tmpl w:val="03C61E96"/>
    <w:lvl w:ilvl="0" w:tplc="FF64298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E2411F"/>
    <w:multiLevelType w:val="hybridMultilevel"/>
    <w:tmpl w:val="C0945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AC20BA"/>
    <w:multiLevelType w:val="hybridMultilevel"/>
    <w:tmpl w:val="593CD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13"/>
  </w:num>
  <w:num w:numId="5">
    <w:abstractNumId w:val="16"/>
  </w:num>
  <w:num w:numId="6">
    <w:abstractNumId w:val="4"/>
  </w:num>
  <w:num w:numId="7">
    <w:abstractNumId w:val="8"/>
  </w:num>
  <w:num w:numId="8">
    <w:abstractNumId w:val="1"/>
  </w:num>
  <w:num w:numId="9">
    <w:abstractNumId w:val="15"/>
  </w:num>
  <w:num w:numId="10">
    <w:abstractNumId w:val="2"/>
  </w:num>
  <w:num w:numId="11">
    <w:abstractNumId w:val="9"/>
  </w:num>
  <w:num w:numId="12">
    <w:abstractNumId w:val="6"/>
  </w:num>
  <w:num w:numId="13">
    <w:abstractNumId w:val="5"/>
  </w:num>
  <w:num w:numId="14">
    <w:abstractNumId w:val="14"/>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A2"/>
    <w:rsid w:val="00003BD9"/>
    <w:rsid w:val="00087DA2"/>
    <w:rsid w:val="000C6392"/>
    <w:rsid w:val="00101274"/>
    <w:rsid w:val="001031CC"/>
    <w:rsid w:val="00120885"/>
    <w:rsid w:val="001900CE"/>
    <w:rsid w:val="001B4163"/>
    <w:rsid w:val="00203733"/>
    <w:rsid w:val="0024285B"/>
    <w:rsid w:val="0034708B"/>
    <w:rsid w:val="00362A98"/>
    <w:rsid w:val="004545A5"/>
    <w:rsid w:val="00470347"/>
    <w:rsid w:val="00554736"/>
    <w:rsid w:val="005F05C5"/>
    <w:rsid w:val="00677767"/>
    <w:rsid w:val="006A6FC8"/>
    <w:rsid w:val="00785012"/>
    <w:rsid w:val="00852214"/>
    <w:rsid w:val="008A747C"/>
    <w:rsid w:val="008E3FD7"/>
    <w:rsid w:val="0094088F"/>
    <w:rsid w:val="009519B3"/>
    <w:rsid w:val="009D5927"/>
    <w:rsid w:val="009D771F"/>
    <w:rsid w:val="00A705D5"/>
    <w:rsid w:val="00AA7833"/>
    <w:rsid w:val="00B50D21"/>
    <w:rsid w:val="00B74B34"/>
    <w:rsid w:val="00B81D3D"/>
    <w:rsid w:val="00B83CB0"/>
    <w:rsid w:val="00B87D00"/>
    <w:rsid w:val="00BE7C40"/>
    <w:rsid w:val="00C45365"/>
    <w:rsid w:val="00C551A0"/>
    <w:rsid w:val="00D51602"/>
    <w:rsid w:val="00D53218"/>
    <w:rsid w:val="00D62A69"/>
    <w:rsid w:val="00DA017F"/>
    <w:rsid w:val="00DC5E8C"/>
    <w:rsid w:val="00DF4E50"/>
    <w:rsid w:val="00E5681C"/>
    <w:rsid w:val="00E9620B"/>
    <w:rsid w:val="00EE0A56"/>
    <w:rsid w:val="00EE55A9"/>
    <w:rsid w:val="00EF46C3"/>
    <w:rsid w:val="00F07DB2"/>
    <w:rsid w:val="00F23DC5"/>
    <w:rsid w:val="00F73B47"/>
    <w:rsid w:val="00FA039B"/>
    <w:rsid w:val="00FD1DC6"/>
    <w:rsid w:val="00FD60D8"/>
    <w:rsid w:val="00FD7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C5"/>
    <w:pPr>
      <w:spacing w:after="160" w:line="259" w:lineRule="auto"/>
    </w:pPr>
  </w:style>
  <w:style w:type="paragraph" w:styleId="1">
    <w:name w:val="heading 1"/>
    <w:basedOn w:val="a"/>
    <w:next w:val="a"/>
    <w:link w:val="10"/>
    <w:uiPriority w:val="9"/>
    <w:qFormat/>
    <w:rsid w:val="00F07DB2"/>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n-GB"/>
    </w:rPr>
  </w:style>
  <w:style w:type="paragraph" w:styleId="2">
    <w:name w:val="heading 2"/>
    <w:basedOn w:val="a"/>
    <w:next w:val="a"/>
    <w:link w:val="20"/>
    <w:uiPriority w:val="9"/>
    <w:unhideWhenUsed/>
    <w:qFormat/>
    <w:rsid w:val="00F07DB2"/>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DB2"/>
    <w:rPr>
      <w:rFonts w:asciiTheme="majorHAnsi" w:eastAsiaTheme="majorEastAsia" w:hAnsiTheme="majorHAnsi" w:cstheme="majorBidi"/>
      <w:b/>
      <w:bCs/>
      <w:color w:val="365F91" w:themeColor="accent1" w:themeShade="BF"/>
      <w:sz w:val="28"/>
      <w:szCs w:val="28"/>
      <w:lang w:val="en-GB"/>
    </w:rPr>
  </w:style>
  <w:style w:type="character" w:customStyle="1" w:styleId="20">
    <w:name w:val="Заголовок 2 Знак"/>
    <w:basedOn w:val="a0"/>
    <w:link w:val="2"/>
    <w:uiPriority w:val="9"/>
    <w:rsid w:val="00F07DB2"/>
    <w:rPr>
      <w:rFonts w:asciiTheme="majorHAnsi" w:eastAsiaTheme="majorEastAsia" w:hAnsiTheme="majorHAnsi" w:cstheme="majorBidi"/>
      <w:color w:val="365F91" w:themeColor="accent1" w:themeShade="BF"/>
      <w:sz w:val="26"/>
      <w:szCs w:val="26"/>
      <w:lang w:val="en-GB" w:eastAsia="zh-CN"/>
    </w:rPr>
  </w:style>
  <w:style w:type="paragraph" w:styleId="a3">
    <w:name w:val="List Paragraph"/>
    <w:basedOn w:val="a"/>
    <w:uiPriority w:val="34"/>
    <w:qFormat/>
    <w:rsid w:val="00F07DB2"/>
    <w:pPr>
      <w:ind w:left="720"/>
      <w:contextualSpacing/>
    </w:pPr>
  </w:style>
  <w:style w:type="paragraph" w:styleId="a4">
    <w:name w:val="footnote text"/>
    <w:aliases w:val="Char Char,Char"/>
    <w:basedOn w:val="a"/>
    <w:link w:val="a5"/>
    <w:uiPriority w:val="99"/>
    <w:unhideWhenUsed/>
    <w:rsid w:val="00F07DB2"/>
    <w:pPr>
      <w:spacing w:after="0" w:line="240" w:lineRule="auto"/>
    </w:pPr>
    <w:rPr>
      <w:sz w:val="20"/>
      <w:szCs w:val="20"/>
    </w:rPr>
  </w:style>
  <w:style w:type="character" w:customStyle="1" w:styleId="a5">
    <w:name w:val="Текст сноски Знак"/>
    <w:aliases w:val="Char Char Знак,Char Знак"/>
    <w:basedOn w:val="a0"/>
    <w:link w:val="a4"/>
    <w:uiPriority w:val="99"/>
    <w:rsid w:val="00F07DB2"/>
    <w:rPr>
      <w:sz w:val="20"/>
      <w:szCs w:val="20"/>
    </w:rPr>
  </w:style>
  <w:style w:type="character" w:styleId="a6">
    <w:name w:val="footnote reference"/>
    <w:basedOn w:val="a0"/>
    <w:uiPriority w:val="99"/>
    <w:unhideWhenUsed/>
    <w:rsid w:val="00F07DB2"/>
    <w:rPr>
      <w:vertAlign w:val="superscript"/>
    </w:rPr>
  </w:style>
  <w:style w:type="character" w:customStyle="1" w:styleId="a7">
    <w:name w:val="Текст выноски Знак"/>
    <w:basedOn w:val="a0"/>
    <w:link w:val="a8"/>
    <w:uiPriority w:val="99"/>
    <w:semiHidden/>
    <w:rsid w:val="00F07DB2"/>
    <w:rPr>
      <w:rFonts w:ascii="Tahoma" w:eastAsiaTheme="minorEastAsia" w:hAnsi="Tahoma" w:cs="Tahoma"/>
      <w:sz w:val="16"/>
      <w:szCs w:val="16"/>
      <w:lang w:val="en-GB" w:eastAsia="zh-CN"/>
    </w:rPr>
  </w:style>
  <w:style w:type="paragraph" w:styleId="a8">
    <w:name w:val="Balloon Text"/>
    <w:basedOn w:val="a"/>
    <w:link w:val="a7"/>
    <w:uiPriority w:val="99"/>
    <w:semiHidden/>
    <w:unhideWhenUsed/>
    <w:rsid w:val="00F07DB2"/>
    <w:pPr>
      <w:spacing w:after="0" w:line="240" w:lineRule="auto"/>
    </w:pPr>
    <w:rPr>
      <w:rFonts w:ascii="Tahoma" w:eastAsiaTheme="minorEastAsia" w:hAnsi="Tahoma" w:cs="Tahoma"/>
      <w:sz w:val="16"/>
      <w:szCs w:val="16"/>
      <w:lang w:val="en-GB" w:eastAsia="zh-CN"/>
    </w:rPr>
  </w:style>
  <w:style w:type="character" w:customStyle="1" w:styleId="a9">
    <w:name w:val="Текст примечания Знак"/>
    <w:basedOn w:val="a0"/>
    <w:link w:val="aa"/>
    <w:uiPriority w:val="99"/>
    <w:semiHidden/>
    <w:rsid w:val="00F07DB2"/>
    <w:rPr>
      <w:rFonts w:eastAsiaTheme="minorEastAsia"/>
      <w:sz w:val="20"/>
      <w:szCs w:val="20"/>
      <w:lang w:val="en-GB" w:eastAsia="zh-CN"/>
    </w:rPr>
  </w:style>
  <w:style w:type="paragraph" w:styleId="aa">
    <w:name w:val="annotation text"/>
    <w:basedOn w:val="a"/>
    <w:link w:val="a9"/>
    <w:uiPriority w:val="99"/>
    <w:semiHidden/>
    <w:unhideWhenUsed/>
    <w:rsid w:val="00F07DB2"/>
    <w:pPr>
      <w:spacing w:after="200" w:line="240" w:lineRule="auto"/>
    </w:pPr>
    <w:rPr>
      <w:rFonts w:eastAsiaTheme="minorEastAsia"/>
      <w:sz w:val="20"/>
      <w:szCs w:val="20"/>
      <w:lang w:val="en-GB" w:eastAsia="zh-CN"/>
    </w:rPr>
  </w:style>
  <w:style w:type="character" w:customStyle="1" w:styleId="ab">
    <w:name w:val="Тема примечания Знак"/>
    <w:basedOn w:val="a9"/>
    <w:link w:val="ac"/>
    <w:uiPriority w:val="99"/>
    <w:semiHidden/>
    <w:rsid w:val="00F07DB2"/>
    <w:rPr>
      <w:rFonts w:eastAsiaTheme="minorEastAsia"/>
      <w:b/>
      <w:bCs/>
      <w:sz w:val="20"/>
      <w:szCs w:val="20"/>
      <w:lang w:val="en-GB" w:eastAsia="zh-CN"/>
    </w:rPr>
  </w:style>
  <w:style w:type="paragraph" w:styleId="ac">
    <w:name w:val="annotation subject"/>
    <w:basedOn w:val="aa"/>
    <w:next w:val="aa"/>
    <w:link w:val="ab"/>
    <w:uiPriority w:val="99"/>
    <w:semiHidden/>
    <w:unhideWhenUsed/>
    <w:rsid w:val="00F07DB2"/>
    <w:rPr>
      <w:b/>
      <w:bCs/>
    </w:rPr>
  </w:style>
  <w:style w:type="character" w:customStyle="1" w:styleId="ad">
    <w:name w:val="Верхний колонтитул Знак"/>
    <w:basedOn w:val="a0"/>
    <w:link w:val="ae"/>
    <w:uiPriority w:val="99"/>
    <w:rsid w:val="00F07DB2"/>
    <w:rPr>
      <w:rFonts w:eastAsiaTheme="minorEastAsia"/>
      <w:lang w:val="en-GB" w:eastAsia="zh-CN"/>
    </w:rPr>
  </w:style>
  <w:style w:type="paragraph" w:styleId="ae">
    <w:name w:val="header"/>
    <w:basedOn w:val="a"/>
    <w:link w:val="ad"/>
    <w:uiPriority w:val="99"/>
    <w:unhideWhenUsed/>
    <w:rsid w:val="00F07DB2"/>
    <w:pPr>
      <w:tabs>
        <w:tab w:val="center" w:pos="4513"/>
        <w:tab w:val="right" w:pos="9026"/>
      </w:tabs>
      <w:spacing w:after="0" w:line="240" w:lineRule="auto"/>
    </w:pPr>
    <w:rPr>
      <w:rFonts w:eastAsiaTheme="minorEastAsia"/>
      <w:lang w:val="en-GB" w:eastAsia="zh-CN"/>
    </w:rPr>
  </w:style>
  <w:style w:type="character" w:customStyle="1" w:styleId="af">
    <w:name w:val="Нижний колонтитул Знак"/>
    <w:basedOn w:val="a0"/>
    <w:link w:val="af0"/>
    <w:uiPriority w:val="99"/>
    <w:rsid w:val="00F07DB2"/>
    <w:rPr>
      <w:rFonts w:eastAsiaTheme="minorEastAsia"/>
      <w:lang w:val="en-GB" w:eastAsia="zh-CN"/>
    </w:rPr>
  </w:style>
  <w:style w:type="paragraph" w:styleId="af0">
    <w:name w:val="footer"/>
    <w:basedOn w:val="a"/>
    <w:link w:val="af"/>
    <w:uiPriority w:val="99"/>
    <w:unhideWhenUsed/>
    <w:rsid w:val="00F07DB2"/>
    <w:pPr>
      <w:tabs>
        <w:tab w:val="center" w:pos="4513"/>
        <w:tab w:val="right" w:pos="9026"/>
      </w:tabs>
      <w:spacing w:after="0" w:line="240" w:lineRule="auto"/>
    </w:pPr>
    <w:rPr>
      <w:rFonts w:eastAsiaTheme="minorEastAsia"/>
      <w:lang w:val="en-GB" w:eastAsia="zh-CN"/>
    </w:rPr>
  </w:style>
  <w:style w:type="paragraph" w:customStyle="1" w:styleId="MHeader">
    <w:name w:val="M.Header"/>
    <w:basedOn w:val="a"/>
    <w:link w:val="MHeaderChar"/>
    <w:qFormat/>
    <w:rsid w:val="00F07DB2"/>
    <w:pPr>
      <w:pBdr>
        <w:bottom w:val="single" w:sz="12" w:space="4" w:color="DDDDDD"/>
      </w:pBdr>
      <w:shd w:val="clear" w:color="auto" w:fill="FFFFFF"/>
      <w:spacing w:after="0" w:line="276" w:lineRule="auto"/>
      <w:outlineLvl w:val="2"/>
    </w:pPr>
    <w:rPr>
      <w:rFonts w:eastAsia="Times New Roman" w:cs="Times New Roman"/>
      <w:color w:val="1C75BC"/>
      <w:sz w:val="36"/>
      <w:szCs w:val="36"/>
      <w:lang w:val="en-GB" w:eastAsia="en-GB"/>
    </w:rPr>
  </w:style>
  <w:style w:type="character" w:customStyle="1" w:styleId="MHeaderChar">
    <w:name w:val="M.Header Char"/>
    <w:basedOn w:val="a0"/>
    <w:link w:val="MHeader"/>
    <w:rsid w:val="00F07DB2"/>
    <w:rPr>
      <w:rFonts w:eastAsia="Times New Roman" w:cs="Times New Roman"/>
      <w:color w:val="1C75BC"/>
      <w:sz w:val="36"/>
      <w:szCs w:val="36"/>
      <w:shd w:val="clear" w:color="auto" w:fill="FFFFFF"/>
      <w:lang w:val="en-GB" w:eastAsia="en-GB"/>
    </w:rPr>
  </w:style>
  <w:style w:type="paragraph" w:customStyle="1" w:styleId="MText">
    <w:name w:val="M.Text"/>
    <w:basedOn w:val="a"/>
    <w:link w:val="MTextChar"/>
    <w:qFormat/>
    <w:rsid w:val="00F07DB2"/>
    <w:pPr>
      <w:shd w:val="clear" w:color="auto" w:fill="FFFFFF"/>
      <w:spacing w:after="0" w:line="276" w:lineRule="auto"/>
    </w:pPr>
    <w:rPr>
      <w:rFonts w:eastAsia="Times New Roman" w:cs="Times New Roman"/>
      <w:color w:val="4A4A4A"/>
      <w:sz w:val="21"/>
      <w:szCs w:val="21"/>
      <w:lang w:val="en-GB" w:eastAsia="en-GB"/>
    </w:rPr>
  </w:style>
  <w:style w:type="character" w:customStyle="1" w:styleId="MTextChar">
    <w:name w:val="M.Text Char"/>
    <w:basedOn w:val="a0"/>
    <w:link w:val="MText"/>
    <w:rsid w:val="00F07DB2"/>
    <w:rPr>
      <w:rFonts w:eastAsia="Times New Roman" w:cs="Times New Roman"/>
      <w:color w:val="4A4A4A"/>
      <w:sz w:val="21"/>
      <w:szCs w:val="21"/>
      <w:shd w:val="clear" w:color="auto" w:fill="FFFFFF"/>
      <w:lang w:val="en-GB" w:eastAsia="en-GB"/>
    </w:rPr>
  </w:style>
  <w:style w:type="paragraph" w:customStyle="1" w:styleId="MSubHeader">
    <w:name w:val="M.Sub.Header"/>
    <w:basedOn w:val="a"/>
    <w:link w:val="MSubHeaderChar"/>
    <w:qFormat/>
    <w:rsid w:val="00F07DB2"/>
    <w:pPr>
      <w:shd w:val="clear" w:color="auto" w:fill="FFFFFF"/>
      <w:spacing w:after="0" w:line="276" w:lineRule="auto"/>
    </w:pPr>
    <w:rPr>
      <w:rFonts w:eastAsia="Times New Roman" w:cs="Times New Roman"/>
      <w:b/>
      <w:bCs/>
      <w:color w:val="4A4A4A"/>
      <w:sz w:val="21"/>
      <w:szCs w:val="21"/>
      <w:lang w:val="en-GB" w:eastAsia="en-GB"/>
    </w:rPr>
  </w:style>
  <w:style w:type="character" w:customStyle="1" w:styleId="MSubHeaderChar">
    <w:name w:val="M.Sub.Header Char"/>
    <w:basedOn w:val="a0"/>
    <w:link w:val="MSubHeader"/>
    <w:rsid w:val="00F07DB2"/>
    <w:rPr>
      <w:rFonts w:eastAsia="Times New Roman" w:cs="Times New Roman"/>
      <w:b/>
      <w:bCs/>
      <w:color w:val="4A4A4A"/>
      <w:sz w:val="21"/>
      <w:szCs w:val="21"/>
      <w:shd w:val="clear" w:color="auto" w:fill="FFFFFF"/>
      <w:lang w:val="en-GB" w:eastAsia="en-GB"/>
    </w:rPr>
  </w:style>
  <w:style w:type="paragraph" w:customStyle="1" w:styleId="MGTHeader">
    <w:name w:val="M.G+T.Header"/>
    <w:basedOn w:val="a"/>
    <w:link w:val="MGTHeaderChar"/>
    <w:qFormat/>
    <w:rsid w:val="00F07DB2"/>
    <w:pPr>
      <w:shd w:val="clear" w:color="auto" w:fill="F5F5F5"/>
      <w:spacing w:after="0" w:line="276" w:lineRule="auto"/>
      <w:outlineLvl w:val="4"/>
    </w:pPr>
    <w:rPr>
      <w:rFonts w:eastAsia="Times New Roman" w:cs="Times New Roman"/>
      <w:color w:val="333333"/>
      <w:sz w:val="21"/>
      <w:szCs w:val="21"/>
      <w:lang w:val="en-GB" w:eastAsia="en-GB"/>
    </w:rPr>
  </w:style>
  <w:style w:type="character" w:customStyle="1" w:styleId="MGTHeaderChar">
    <w:name w:val="M.G+T.Header Char"/>
    <w:basedOn w:val="a0"/>
    <w:link w:val="MGTHeader"/>
    <w:rsid w:val="00F07DB2"/>
    <w:rPr>
      <w:rFonts w:eastAsia="Times New Roman" w:cs="Times New Roman"/>
      <w:color w:val="333333"/>
      <w:sz w:val="21"/>
      <w:szCs w:val="21"/>
      <w:shd w:val="clear" w:color="auto" w:fill="F5F5F5"/>
      <w:lang w:val="en-GB" w:eastAsia="en-GB"/>
    </w:rPr>
  </w:style>
  <w:style w:type="paragraph" w:customStyle="1" w:styleId="MIndHeader">
    <w:name w:val="M.Ind.Header"/>
    <w:basedOn w:val="a"/>
    <w:link w:val="MIndHeaderChar"/>
    <w:qFormat/>
    <w:rsid w:val="00F07DB2"/>
    <w:pPr>
      <w:shd w:val="clear" w:color="auto" w:fill="F5F5F5"/>
      <w:spacing w:after="0" w:line="276" w:lineRule="auto"/>
      <w:outlineLvl w:val="1"/>
    </w:pPr>
    <w:rPr>
      <w:rFonts w:eastAsia="Times New Roman" w:cs="Times New Roman"/>
      <w:color w:val="1C75BC"/>
      <w:lang w:val="en-GB" w:eastAsia="en-GB"/>
    </w:rPr>
  </w:style>
  <w:style w:type="character" w:customStyle="1" w:styleId="MIndHeaderChar">
    <w:name w:val="M.Ind.Header Char"/>
    <w:basedOn w:val="a0"/>
    <w:link w:val="MIndHeader"/>
    <w:rsid w:val="00F07DB2"/>
    <w:rPr>
      <w:rFonts w:eastAsia="Times New Roman" w:cs="Times New Roman"/>
      <w:color w:val="1C75BC"/>
      <w:shd w:val="clear" w:color="auto" w:fill="F5F5F5"/>
      <w:lang w:val="en-GB" w:eastAsia="en-GB"/>
    </w:rPr>
  </w:style>
  <w:style w:type="character" w:customStyle="1" w:styleId="af1">
    <w:name w:val="Текст концевой сноски Знак"/>
    <w:basedOn w:val="a0"/>
    <w:link w:val="af2"/>
    <w:uiPriority w:val="99"/>
    <w:semiHidden/>
    <w:rsid w:val="00F07DB2"/>
    <w:rPr>
      <w:rFonts w:ascii="Calibri" w:eastAsia="Calibri" w:hAnsi="Calibri" w:cs="Times New Roman"/>
      <w:sz w:val="20"/>
      <w:szCs w:val="20"/>
      <w:lang w:val="en-GB"/>
    </w:rPr>
  </w:style>
  <w:style w:type="paragraph" w:styleId="af2">
    <w:name w:val="endnote text"/>
    <w:basedOn w:val="a"/>
    <w:link w:val="af1"/>
    <w:uiPriority w:val="99"/>
    <w:semiHidden/>
    <w:unhideWhenUsed/>
    <w:rsid w:val="00F07DB2"/>
    <w:pPr>
      <w:spacing w:after="0" w:line="240" w:lineRule="auto"/>
    </w:pPr>
    <w:rPr>
      <w:rFonts w:ascii="Calibri" w:eastAsia="Calibri" w:hAnsi="Calibri" w:cs="Times New Roman"/>
      <w:sz w:val="20"/>
      <w:szCs w:val="20"/>
      <w:lang w:val="en-GB"/>
    </w:rPr>
  </w:style>
  <w:style w:type="paragraph" w:styleId="af3">
    <w:name w:val="TOC Heading"/>
    <w:basedOn w:val="1"/>
    <w:next w:val="a"/>
    <w:uiPriority w:val="39"/>
    <w:unhideWhenUsed/>
    <w:qFormat/>
    <w:rsid w:val="00F07DB2"/>
    <w:pPr>
      <w:spacing w:before="240" w:line="259" w:lineRule="auto"/>
      <w:jc w:val="left"/>
      <w:outlineLvl w:val="9"/>
    </w:pPr>
    <w:rPr>
      <w:rFonts w:ascii="Calibri Light" w:eastAsia="Times New Roman" w:hAnsi="Calibri Light" w:cs="Times New Roman"/>
      <w:b w:val="0"/>
      <w:bCs w:val="0"/>
      <w:color w:val="2E74B5"/>
      <w:sz w:val="32"/>
      <w:szCs w:val="32"/>
      <w:lang w:val="en-US"/>
    </w:rPr>
  </w:style>
  <w:style w:type="character" w:styleId="af4">
    <w:name w:val="Hyperlink"/>
    <w:basedOn w:val="a0"/>
    <w:uiPriority w:val="99"/>
    <w:unhideWhenUsed/>
    <w:rsid w:val="00D51602"/>
    <w:rPr>
      <w:color w:val="0000FF" w:themeColor="hyperlink"/>
      <w:u w:val="single"/>
    </w:rPr>
  </w:style>
  <w:style w:type="paragraph" w:customStyle="1" w:styleId="NonNumbered">
    <w:name w:val="NonNumbered"/>
    <w:basedOn w:val="a"/>
    <w:rsid w:val="00D51602"/>
    <w:pPr>
      <w:spacing w:before="240" w:after="240" w:line="240" w:lineRule="auto"/>
      <w:ind w:left="1134"/>
      <w:jc w:val="both"/>
    </w:pPr>
    <w:rPr>
      <w:rFonts w:ascii="Calibri" w:eastAsia="Times New Roman" w:hAnsi="Calibri" w:cs="Times New Roman"/>
      <w:szCs w:val="20"/>
      <w:lang w:val="en-US"/>
    </w:rPr>
  </w:style>
  <w:style w:type="paragraph" w:customStyle="1" w:styleId="Default">
    <w:name w:val="Default"/>
    <w:rsid w:val="00D51602"/>
    <w:pPr>
      <w:autoSpaceDE w:val="0"/>
      <w:autoSpaceDN w:val="0"/>
      <w:adjustRightInd w:val="0"/>
      <w:spacing w:after="0" w:line="240" w:lineRule="auto"/>
    </w:pPr>
    <w:rPr>
      <w:rFonts w:ascii="Garamond" w:eastAsia="Calibri" w:hAnsi="Garamond" w:cs="Garamond"/>
      <w:color w:val="000000"/>
      <w:sz w:val="24"/>
      <w:szCs w:val="24"/>
      <w:lang w:val="en-GB"/>
    </w:rPr>
  </w:style>
  <w:style w:type="paragraph" w:styleId="11">
    <w:name w:val="toc 1"/>
    <w:basedOn w:val="a"/>
    <w:next w:val="a"/>
    <w:autoRedefine/>
    <w:uiPriority w:val="39"/>
    <w:unhideWhenUsed/>
    <w:rsid w:val="00D51602"/>
    <w:pPr>
      <w:tabs>
        <w:tab w:val="left" w:pos="440"/>
        <w:tab w:val="right" w:leader="dot" w:pos="9016"/>
      </w:tabs>
      <w:spacing w:after="100"/>
    </w:pPr>
    <w:rPr>
      <w:rFonts w:ascii="Calibri" w:eastAsia="Times New Roman" w:hAnsi="Calibri" w:cs="Times New Roman"/>
      <w:sz w:val="24"/>
      <w:szCs w:val="24"/>
      <w:lang w:val="en-US"/>
    </w:rPr>
  </w:style>
  <w:style w:type="paragraph" w:styleId="21">
    <w:name w:val="toc 2"/>
    <w:basedOn w:val="a"/>
    <w:next w:val="a"/>
    <w:autoRedefine/>
    <w:uiPriority w:val="39"/>
    <w:unhideWhenUsed/>
    <w:rsid w:val="00D51602"/>
    <w:pPr>
      <w:spacing w:after="0" w:line="240" w:lineRule="auto"/>
      <w:ind w:left="240"/>
    </w:pPr>
    <w:rPr>
      <w:rFonts w:ascii="Calibri" w:eastAsia="Times New Roman" w:hAnsi="Calibri" w:cs="Times New Roman"/>
      <w:sz w:val="24"/>
      <w:szCs w:val="24"/>
      <w:lang w:val="en-US"/>
    </w:rPr>
  </w:style>
  <w:style w:type="paragraph" w:customStyle="1" w:styleId="font5">
    <w:name w:val="font5"/>
    <w:basedOn w:val="a"/>
    <w:rsid w:val="00D51602"/>
    <w:pPr>
      <w:spacing w:before="100" w:beforeAutospacing="1" w:after="100" w:afterAutospacing="1" w:line="240" w:lineRule="auto"/>
    </w:pPr>
    <w:rPr>
      <w:rFonts w:ascii="Arial Narrow" w:eastAsia="Times New Roman" w:hAnsi="Arial Narrow" w:cs="Times New Roman"/>
      <w:sz w:val="20"/>
      <w:szCs w:val="20"/>
      <w:lang w:val="en-GB" w:eastAsia="en-GB"/>
    </w:rPr>
  </w:style>
  <w:style w:type="paragraph" w:customStyle="1" w:styleId="xl67">
    <w:name w:val="xl67"/>
    <w:basedOn w:val="a"/>
    <w:rsid w:val="00D51602"/>
    <w:pPr>
      <w:shd w:val="clear" w:color="000000" w:fill="FFFFFF"/>
      <w:spacing w:before="100" w:beforeAutospacing="1" w:after="100" w:afterAutospacing="1" w:line="240" w:lineRule="auto"/>
      <w:textAlignment w:val="top"/>
    </w:pPr>
    <w:rPr>
      <w:rFonts w:ascii="Calibri" w:eastAsia="Times New Roman" w:hAnsi="Calibri" w:cs="Times New Roman"/>
      <w:sz w:val="24"/>
      <w:szCs w:val="24"/>
      <w:lang w:val="en-GB" w:eastAsia="en-GB"/>
    </w:rPr>
  </w:style>
  <w:style w:type="paragraph" w:customStyle="1" w:styleId="xl68">
    <w:name w:val="xl68"/>
    <w:basedOn w:val="a"/>
    <w:rsid w:val="00D51602"/>
    <w:pPr>
      <w:shd w:val="clear" w:color="000000" w:fill="FFFFFF"/>
      <w:spacing w:before="100" w:beforeAutospacing="1" w:after="100" w:afterAutospacing="1" w:line="240" w:lineRule="auto"/>
      <w:textAlignment w:val="top"/>
    </w:pPr>
    <w:rPr>
      <w:rFonts w:ascii="Calibri" w:eastAsia="Times New Roman" w:hAnsi="Calibri" w:cs="Times New Roman"/>
      <w:sz w:val="20"/>
      <w:szCs w:val="20"/>
      <w:lang w:val="en-GB" w:eastAsia="en-GB"/>
    </w:rPr>
  </w:style>
  <w:style w:type="paragraph" w:customStyle="1" w:styleId="xl69">
    <w:name w:val="xl69"/>
    <w:basedOn w:val="a"/>
    <w:rsid w:val="00D5160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val="en-GB" w:eastAsia="en-GB"/>
    </w:rPr>
  </w:style>
  <w:style w:type="paragraph" w:customStyle="1" w:styleId="xl70">
    <w:name w:val="xl70"/>
    <w:basedOn w:val="a"/>
    <w:rsid w:val="00D51602"/>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71">
    <w:name w:val="xl71"/>
    <w:basedOn w:val="a"/>
    <w:rsid w:val="00D5160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val="en-GB" w:eastAsia="en-GB"/>
    </w:rPr>
  </w:style>
  <w:style w:type="paragraph" w:customStyle="1" w:styleId="xl72">
    <w:name w:val="xl72"/>
    <w:basedOn w:val="a"/>
    <w:rsid w:val="00D51602"/>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73">
    <w:name w:val="xl73"/>
    <w:basedOn w:val="a"/>
    <w:rsid w:val="00D51602"/>
    <w:pPr>
      <w:shd w:val="clear" w:color="000000" w:fill="FFFFFF"/>
      <w:spacing w:before="100" w:beforeAutospacing="1" w:after="100" w:afterAutospacing="1" w:line="240" w:lineRule="auto"/>
      <w:jc w:val="center"/>
      <w:textAlignment w:val="top"/>
    </w:pPr>
    <w:rPr>
      <w:rFonts w:ascii="Calibri" w:eastAsia="Times New Roman" w:hAnsi="Calibri" w:cs="Times New Roman"/>
      <w:sz w:val="24"/>
      <w:szCs w:val="24"/>
      <w:lang w:val="en-GB" w:eastAsia="en-GB"/>
    </w:rPr>
  </w:style>
  <w:style w:type="paragraph" w:customStyle="1" w:styleId="xl74">
    <w:name w:val="xl74"/>
    <w:basedOn w:val="a"/>
    <w:rsid w:val="00D51602"/>
    <w:pPr>
      <w:shd w:val="clear" w:color="000000" w:fill="FFFFFF"/>
      <w:spacing w:before="100" w:beforeAutospacing="1" w:after="100" w:afterAutospacing="1" w:line="240" w:lineRule="auto"/>
      <w:jc w:val="center"/>
      <w:textAlignment w:val="top"/>
    </w:pPr>
    <w:rPr>
      <w:rFonts w:ascii="Calibri" w:eastAsia="Times New Roman" w:hAnsi="Calibri" w:cs="Times New Roman"/>
      <w:sz w:val="20"/>
      <w:szCs w:val="20"/>
      <w:lang w:val="en-GB" w:eastAsia="en-GB"/>
    </w:rPr>
  </w:style>
  <w:style w:type="paragraph" w:customStyle="1" w:styleId="xl75">
    <w:name w:val="xl75"/>
    <w:basedOn w:val="a"/>
    <w:rsid w:val="00D5160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76">
    <w:name w:val="xl76"/>
    <w:basedOn w:val="a"/>
    <w:rsid w:val="00D51602"/>
    <w:pPr>
      <w:pBdr>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sz w:val="20"/>
      <w:szCs w:val="20"/>
      <w:lang w:val="en-GB" w:eastAsia="en-GB"/>
    </w:rPr>
  </w:style>
  <w:style w:type="paragraph" w:customStyle="1" w:styleId="xl77">
    <w:name w:val="xl77"/>
    <w:basedOn w:val="a"/>
    <w:rsid w:val="00D51602"/>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78">
    <w:name w:val="xl78"/>
    <w:basedOn w:val="a"/>
    <w:rsid w:val="00D51602"/>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79">
    <w:name w:val="xl79"/>
    <w:basedOn w:val="a"/>
    <w:rsid w:val="00D5160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80">
    <w:name w:val="xl80"/>
    <w:basedOn w:val="a"/>
    <w:rsid w:val="00D51602"/>
    <w:pPr>
      <w:shd w:val="clear" w:color="000000" w:fill="FFFFFF"/>
      <w:spacing w:before="100" w:beforeAutospacing="1" w:after="100" w:afterAutospacing="1" w:line="240" w:lineRule="auto"/>
      <w:jc w:val="center"/>
      <w:textAlignment w:val="top"/>
    </w:pPr>
    <w:rPr>
      <w:rFonts w:ascii="Calibri" w:eastAsia="Times New Roman" w:hAnsi="Calibri" w:cs="Times New Roman"/>
      <w:sz w:val="20"/>
      <w:szCs w:val="20"/>
      <w:lang w:val="en-GB" w:eastAsia="en-GB"/>
    </w:rPr>
  </w:style>
  <w:style w:type="paragraph" w:customStyle="1" w:styleId="xl81">
    <w:name w:val="xl81"/>
    <w:basedOn w:val="a"/>
    <w:rsid w:val="00D51602"/>
    <w:pPr>
      <w:pBdr>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sz w:val="20"/>
      <w:szCs w:val="20"/>
      <w:lang w:val="en-GB" w:eastAsia="en-GB"/>
    </w:rPr>
  </w:style>
  <w:style w:type="paragraph" w:customStyle="1" w:styleId="xl82">
    <w:name w:val="xl82"/>
    <w:basedOn w:val="a"/>
    <w:rsid w:val="00D51602"/>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83">
    <w:name w:val="xl83"/>
    <w:basedOn w:val="a"/>
    <w:rsid w:val="00D5160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val="en-GB" w:eastAsia="en-GB"/>
    </w:rPr>
  </w:style>
  <w:style w:type="paragraph" w:customStyle="1" w:styleId="xl84">
    <w:name w:val="xl84"/>
    <w:basedOn w:val="a"/>
    <w:rsid w:val="00D5160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val="en-GB" w:eastAsia="en-GB"/>
    </w:rPr>
  </w:style>
  <w:style w:type="paragraph" w:customStyle="1" w:styleId="xl85">
    <w:name w:val="xl85"/>
    <w:basedOn w:val="a"/>
    <w:rsid w:val="00D51602"/>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86">
    <w:name w:val="xl86"/>
    <w:basedOn w:val="a"/>
    <w:rsid w:val="00D5160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val="en-GB" w:eastAsia="en-GB"/>
    </w:rPr>
  </w:style>
  <w:style w:type="paragraph" w:customStyle="1" w:styleId="xl87">
    <w:name w:val="xl87"/>
    <w:basedOn w:val="a"/>
    <w:rsid w:val="00D5160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val="en-GB" w:eastAsia="en-GB"/>
    </w:rPr>
  </w:style>
  <w:style w:type="paragraph" w:customStyle="1" w:styleId="xl88">
    <w:name w:val="xl88"/>
    <w:basedOn w:val="a"/>
    <w:rsid w:val="00D51602"/>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89">
    <w:name w:val="xl89"/>
    <w:basedOn w:val="a"/>
    <w:rsid w:val="00D5160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90">
    <w:name w:val="xl90"/>
    <w:basedOn w:val="a"/>
    <w:rsid w:val="00D5160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91">
    <w:name w:val="xl91"/>
    <w:basedOn w:val="a"/>
    <w:rsid w:val="00D5160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val="en-GB" w:eastAsia="en-GB"/>
    </w:rPr>
  </w:style>
  <w:style w:type="paragraph" w:customStyle="1" w:styleId="xl92">
    <w:name w:val="xl92"/>
    <w:basedOn w:val="a"/>
    <w:rsid w:val="00D5160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val="en-GB" w:eastAsia="en-GB"/>
    </w:rPr>
  </w:style>
  <w:style w:type="paragraph" w:customStyle="1" w:styleId="xl93">
    <w:name w:val="xl93"/>
    <w:basedOn w:val="a"/>
    <w:rsid w:val="00D51602"/>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94">
    <w:name w:val="xl94"/>
    <w:basedOn w:val="a"/>
    <w:rsid w:val="00D51602"/>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95">
    <w:name w:val="xl95"/>
    <w:basedOn w:val="a"/>
    <w:rsid w:val="00D51602"/>
    <w:pPr>
      <w:shd w:val="clear" w:color="000000" w:fill="FFFFFF"/>
      <w:spacing w:before="100" w:beforeAutospacing="1" w:after="100" w:afterAutospacing="1" w:line="240" w:lineRule="auto"/>
      <w:textAlignment w:val="top"/>
    </w:pPr>
    <w:rPr>
      <w:rFonts w:ascii="Calibri" w:eastAsia="Times New Roman" w:hAnsi="Calibri" w:cs="Times New Roman"/>
      <w:sz w:val="24"/>
      <w:szCs w:val="24"/>
      <w:lang w:val="en-GB" w:eastAsia="en-GB"/>
    </w:rPr>
  </w:style>
  <w:style w:type="paragraph" w:customStyle="1" w:styleId="xl96">
    <w:name w:val="xl96"/>
    <w:basedOn w:val="a"/>
    <w:rsid w:val="00D51602"/>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97">
    <w:name w:val="xl97"/>
    <w:basedOn w:val="a"/>
    <w:rsid w:val="00D51602"/>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98">
    <w:name w:val="xl98"/>
    <w:basedOn w:val="a"/>
    <w:rsid w:val="00D51602"/>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99">
    <w:name w:val="xl99"/>
    <w:basedOn w:val="a"/>
    <w:rsid w:val="00D51602"/>
    <w:pPr>
      <w:spacing w:before="100" w:beforeAutospacing="1" w:after="100" w:afterAutospacing="1" w:line="240" w:lineRule="auto"/>
      <w:textAlignment w:val="top"/>
    </w:pPr>
    <w:rPr>
      <w:rFonts w:ascii="Calibri" w:eastAsia="Times New Roman" w:hAnsi="Calibri" w:cs="Times New Roman"/>
      <w:sz w:val="20"/>
      <w:szCs w:val="20"/>
      <w:lang w:val="en-GB" w:eastAsia="en-GB"/>
    </w:rPr>
  </w:style>
  <w:style w:type="paragraph" w:customStyle="1" w:styleId="xl100">
    <w:name w:val="xl100"/>
    <w:basedOn w:val="a"/>
    <w:rsid w:val="00D51602"/>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C5"/>
    <w:pPr>
      <w:spacing w:after="160" w:line="259" w:lineRule="auto"/>
    </w:pPr>
  </w:style>
  <w:style w:type="paragraph" w:styleId="1">
    <w:name w:val="heading 1"/>
    <w:basedOn w:val="a"/>
    <w:next w:val="a"/>
    <w:link w:val="10"/>
    <w:uiPriority w:val="9"/>
    <w:qFormat/>
    <w:rsid w:val="00F07DB2"/>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n-GB"/>
    </w:rPr>
  </w:style>
  <w:style w:type="paragraph" w:styleId="2">
    <w:name w:val="heading 2"/>
    <w:basedOn w:val="a"/>
    <w:next w:val="a"/>
    <w:link w:val="20"/>
    <w:uiPriority w:val="9"/>
    <w:unhideWhenUsed/>
    <w:qFormat/>
    <w:rsid w:val="00F07DB2"/>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DB2"/>
    <w:rPr>
      <w:rFonts w:asciiTheme="majorHAnsi" w:eastAsiaTheme="majorEastAsia" w:hAnsiTheme="majorHAnsi" w:cstheme="majorBidi"/>
      <w:b/>
      <w:bCs/>
      <w:color w:val="365F91" w:themeColor="accent1" w:themeShade="BF"/>
      <w:sz w:val="28"/>
      <w:szCs w:val="28"/>
      <w:lang w:val="en-GB"/>
    </w:rPr>
  </w:style>
  <w:style w:type="character" w:customStyle="1" w:styleId="20">
    <w:name w:val="Заголовок 2 Знак"/>
    <w:basedOn w:val="a0"/>
    <w:link w:val="2"/>
    <w:uiPriority w:val="9"/>
    <w:rsid w:val="00F07DB2"/>
    <w:rPr>
      <w:rFonts w:asciiTheme="majorHAnsi" w:eastAsiaTheme="majorEastAsia" w:hAnsiTheme="majorHAnsi" w:cstheme="majorBidi"/>
      <w:color w:val="365F91" w:themeColor="accent1" w:themeShade="BF"/>
      <w:sz w:val="26"/>
      <w:szCs w:val="26"/>
      <w:lang w:val="en-GB" w:eastAsia="zh-CN"/>
    </w:rPr>
  </w:style>
  <w:style w:type="paragraph" w:styleId="a3">
    <w:name w:val="List Paragraph"/>
    <w:basedOn w:val="a"/>
    <w:uiPriority w:val="34"/>
    <w:qFormat/>
    <w:rsid w:val="00F07DB2"/>
    <w:pPr>
      <w:ind w:left="720"/>
      <w:contextualSpacing/>
    </w:pPr>
  </w:style>
  <w:style w:type="paragraph" w:styleId="a4">
    <w:name w:val="footnote text"/>
    <w:aliases w:val="Char Char,Char"/>
    <w:basedOn w:val="a"/>
    <w:link w:val="a5"/>
    <w:uiPriority w:val="99"/>
    <w:unhideWhenUsed/>
    <w:rsid w:val="00F07DB2"/>
    <w:pPr>
      <w:spacing w:after="0" w:line="240" w:lineRule="auto"/>
    </w:pPr>
    <w:rPr>
      <w:sz w:val="20"/>
      <w:szCs w:val="20"/>
    </w:rPr>
  </w:style>
  <w:style w:type="character" w:customStyle="1" w:styleId="a5">
    <w:name w:val="Текст сноски Знак"/>
    <w:aliases w:val="Char Char Знак,Char Знак"/>
    <w:basedOn w:val="a0"/>
    <w:link w:val="a4"/>
    <w:uiPriority w:val="99"/>
    <w:rsid w:val="00F07DB2"/>
    <w:rPr>
      <w:sz w:val="20"/>
      <w:szCs w:val="20"/>
    </w:rPr>
  </w:style>
  <w:style w:type="character" w:styleId="a6">
    <w:name w:val="footnote reference"/>
    <w:basedOn w:val="a0"/>
    <w:uiPriority w:val="99"/>
    <w:unhideWhenUsed/>
    <w:rsid w:val="00F07DB2"/>
    <w:rPr>
      <w:vertAlign w:val="superscript"/>
    </w:rPr>
  </w:style>
  <w:style w:type="character" w:customStyle="1" w:styleId="a7">
    <w:name w:val="Текст выноски Знак"/>
    <w:basedOn w:val="a0"/>
    <w:link w:val="a8"/>
    <w:uiPriority w:val="99"/>
    <w:semiHidden/>
    <w:rsid w:val="00F07DB2"/>
    <w:rPr>
      <w:rFonts w:ascii="Tahoma" w:eastAsiaTheme="minorEastAsia" w:hAnsi="Tahoma" w:cs="Tahoma"/>
      <w:sz w:val="16"/>
      <w:szCs w:val="16"/>
      <w:lang w:val="en-GB" w:eastAsia="zh-CN"/>
    </w:rPr>
  </w:style>
  <w:style w:type="paragraph" w:styleId="a8">
    <w:name w:val="Balloon Text"/>
    <w:basedOn w:val="a"/>
    <w:link w:val="a7"/>
    <w:uiPriority w:val="99"/>
    <w:semiHidden/>
    <w:unhideWhenUsed/>
    <w:rsid w:val="00F07DB2"/>
    <w:pPr>
      <w:spacing w:after="0" w:line="240" w:lineRule="auto"/>
    </w:pPr>
    <w:rPr>
      <w:rFonts w:ascii="Tahoma" w:eastAsiaTheme="minorEastAsia" w:hAnsi="Tahoma" w:cs="Tahoma"/>
      <w:sz w:val="16"/>
      <w:szCs w:val="16"/>
      <w:lang w:val="en-GB" w:eastAsia="zh-CN"/>
    </w:rPr>
  </w:style>
  <w:style w:type="character" w:customStyle="1" w:styleId="a9">
    <w:name w:val="Текст примечания Знак"/>
    <w:basedOn w:val="a0"/>
    <w:link w:val="aa"/>
    <w:uiPriority w:val="99"/>
    <w:semiHidden/>
    <w:rsid w:val="00F07DB2"/>
    <w:rPr>
      <w:rFonts w:eastAsiaTheme="minorEastAsia"/>
      <w:sz w:val="20"/>
      <w:szCs w:val="20"/>
      <w:lang w:val="en-GB" w:eastAsia="zh-CN"/>
    </w:rPr>
  </w:style>
  <w:style w:type="paragraph" w:styleId="aa">
    <w:name w:val="annotation text"/>
    <w:basedOn w:val="a"/>
    <w:link w:val="a9"/>
    <w:uiPriority w:val="99"/>
    <w:semiHidden/>
    <w:unhideWhenUsed/>
    <w:rsid w:val="00F07DB2"/>
    <w:pPr>
      <w:spacing w:after="200" w:line="240" w:lineRule="auto"/>
    </w:pPr>
    <w:rPr>
      <w:rFonts w:eastAsiaTheme="minorEastAsia"/>
      <w:sz w:val="20"/>
      <w:szCs w:val="20"/>
      <w:lang w:val="en-GB" w:eastAsia="zh-CN"/>
    </w:rPr>
  </w:style>
  <w:style w:type="character" w:customStyle="1" w:styleId="ab">
    <w:name w:val="Тема примечания Знак"/>
    <w:basedOn w:val="a9"/>
    <w:link w:val="ac"/>
    <w:uiPriority w:val="99"/>
    <w:semiHidden/>
    <w:rsid w:val="00F07DB2"/>
    <w:rPr>
      <w:rFonts w:eastAsiaTheme="minorEastAsia"/>
      <w:b/>
      <w:bCs/>
      <w:sz w:val="20"/>
      <w:szCs w:val="20"/>
      <w:lang w:val="en-GB" w:eastAsia="zh-CN"/>
    </w:rPr>
  </w:style>
  <w:style w:type="paragraph" w:styleId="ac">
    <w:name w:val="annotation subject"/>
    <w:basedOn w:val="aa"/>
    <w:next w:val="aa"/>
    <w:link w:val="ab"/>
    <w:uiPriority w:val="99"/>
    <w:semiHidden/>
    <w:unhideWhenUsed/>
    <w:rsid w:val="00F07DB2"/>
    <w:rPr>
      <w:b/>
      <w:bCs/>
    </w:rPr>
  </w:style>
  <w:style w:type="character" w:customStyle="1" w:styleId="ad">
    <w:name w:val="Верхний колонтитул Знак"/>
    <w:basedOn w:val="a0"/>
    <w:link w:val="ae"/>
    <w:uiPriority w:val="99"/>
    <w:rsid w:val="00F07DB2"/>
    <w:rPr>
      <w:rFonts w:eastAsiaTheme="minorEastAsia"/>
      <w:lang w:val="en-GB" w:eastAsia="zh-CN"/>
    </w:rPr>
  </w:style>
  <w:style w:type="paragraph" w:styleId="ae">
    <w:name w:val="header"/>
    <w:basedOn w:val="a"/>
    <w:link w:val="ad"/>
    <w:uiPriority w:val="99"/>
    <w:unhideWhenUsed/>
    <w:rsid w:val="00F07DB2"/>
    <w:pPr>
      <w:tabs>
        <w:tab w:val="center" w:pos="4513"/>
        <w:tab w:val="right" w:pos="9026"/>
      </w:tabs>
      <w:spacing w:after="0" w:line="240" w:lineRule="auto"/>
    </w:pPr>
    <w:rPr>
      <w:rFonts w:eastAsiaTheme="minorEastAsia"/>
      <w:lang w:val="en-GB" w:eastAsia="zh-CN"/>
    </w:rPr>
  </w:style>
  <w:style w:type="character" w:customStyle="1" w:styleId="af">
    <w:name w:val="Нижний колонтитул Знак"/>
    <w:basedOn w:val="a0"/>
    <w:link w:val="af0"/>
    <w:uiPriority w:val="99"/>
    <w:rsid w:val="00F07DB2"/>
    <w:rPr>
      <w:rFonts w:eastAsiaTheme="minorEastAsia"/>
      <w:lang w:val="en-GB" w:eastAsia="zh-CN"/>
    </w:rPr>
  </w:style>
  <w:style w:type="paragraph" w:styleId="af0">
    <w:name w:val="footer"/>
    <w:basedOn w:val="a"/>
    <w:link w:val="af"/>
    <w:uiPriority w:val="99"/>
    <w:unhideWhenUsed/>
    <w:rsid w:val="00F07DB2"/>
    <w:pPr>
      <w:tabs>
        <w:tab w:val="center" w:pos="4513"/>
        <w:tab w:val="right" w:pos="9026"/>
      </w:tabs>
      <w:spacing w:after="0" w:line="240" w:lineRule="auto"/>
    </w:pPr>
    <w:rPr>
      <w:rFonts w:eastAsiaTheme="minorEastAsia"/>
      <w:lang w:val="en-GB" w:eastAsia="zh-CN"/>
    </w:rPr>
  </w:style>
  <w:style w:type="paragraph" w:customStyle="1" w:styleId="MHeader">
    <w:name w:val="M.Header"/>
    <w:basedOn w:val="a"/>
    <w:link w:val="MHeaderChar"/>
    <w:qFormat/>
    <w:rsid w:val="00F07DB2"/>
    <w:pPr>
      <w:pBdr>
        <w:bottom w:val="single" w:sz="12" w:space="4" w:color="DDDDDD"/>
      </w:pBdr>
      <w:shd w:val="clear" w:color="auto" w:fill="FFFFFF"/>
      <w:spacing w:after="0" w:line="276" w:lineRule="auto"/>
      <w:outlineLvl w:val="2"/>
    </w:pPr>
    <w:rPr>
      <w:rFonts w:eastAsia="Times New Roman" w:cs="Times New Roman"/>
      <w:color w:val="1C75BC"/>
      <w:sz w:val="36"/>
      <w:szCs w:val="36"/>
      <w:lang w:val="en-GB" w:eastAsia="en-GB"/>
    </w:rPr>
  </w:style>
  <w:style w:type="character" w:customStyle="1" w:styleId="MHeaderChar">
    <w:name w:val="M.Header Char"/>
    <w:basedOn w:val="a0"/>
    <w:link w:val="MHeader"/>
    <w:rsid w:val="00F07DB2"/>
    <w:rPr>
      <w:rFonts w:eastAsia="Times New Roman" w:cs="Times New Roman"/>
      <w:color w:val="1C75BC"/>
      <w:sz w:val="36"/>
      <w:szCs w:val="36"/>
      <w:shd w:val="clear" w:color="auto" w:fill="FFFFFF"/>
      <w:lang w:val="en-GB" w:eastAsia="en-GB"/>
    </w:rPr>
  </w:style>
  <w:style w:type="paragraph" w:customStyle="1" w:styleId="MText">
    <w:name w:val="M.Text"/>
    <w:basedOn w:val="a"/>
    <w:link w:val="MTextChar"/>
    <w:qFormat/>
    <w:rsid w:val="00F07DB2"/>
    <w:pPr>
      <w:shd w:val="clear" w:color="auto" w:fill="FFFFFF"/>
      <w:spacing w:after="0" w:line="276" w:lineRule="auto"/>
    </w:pPr>
    <w:rPr>
      <w:rFonts w:eastAsia="Times New Roman" w:cs="Times New Roman"/>
      <w:color w:val="4A4A4A"/>
      <w:sz w:val="21"/>
      <w:szCs w:val="21"/>
      <w:lang w:val="en-GB" w:eastAsia="en-GB"/>
    </w:rPr>
  </w:style>
  <w:style w:type="character" w:customStyle="1" w:styleId="MTextChar">
    <w:name w:val="M.Text Char"/>
    <w:basedOn w:val="a0"/>
    <w:link w:val="MText"/>
    <w:rsid w:val="00F07DB2"/>
    <w:rPr>
      <w:rFonts w:eastAsia="Times New Roman" w:cs="Times New Roman"/>
      <w:color w:val="4A4A4A"/>
      <w:sz w:val="21"/>
      <w:szCs w:val="21"/>
      <w:shd w:val="clear" w:color="auto" w:fill="FFFFFF"/>
      <w:lang w:val="en-GB" w:eastAsia="en-GB"/>
    </w:rPr>
  </w:style>
  <w:style w:type="paragraph" w:customStyle="1" w:styleId="MSubHeader">
    <w:name w:val="M.Sub.Header"/>
    <w:basedOn w:val="a"/>
    <w:link w:val="MSubHeaderChar"/>
    <w:qFormat/>
    <w:rsid w:val="00F07DB2"/>
    <w:pPr>
      <w:shd w:val="clear" w:color="auto" w:fill="FFFFFF"/>
      <w:spacing w:after="0" w:line="276" w:lineRule="auto"/>
    </w:pPr>
    <w:rPr>
      <w:rFonts w:eastAsia="Times New Roman" w:cs="Times New Roman"/>
      <w:b/>
      <w:bCs/>
      <w:color w:val="4A4A4A"/>
      <w:sz w:val="21"/>
      <w:szCs w:val="21"/>
      <w:lang w:val="en-GB" w:eastAsia="en-GB"/>
    </w:rPr>
  </w:style>
  <w:style w:type="character" w:customStyle="1" w:styleId="MSubHeaderChar">
    <w:name w:val="M.Sub.Header Char"/>
    <w:basedOn w:val="a0"/>
    <w:link w:val="MSubHeader"/>
    <w:rsid w:val="00F07DB2"/>
    <w:rPr>
      <w:rFonts w:eastAsia="Times New Roman" w:cs="Times New Roman"/>
      <w:b/>
      <w:bCs/>
      <w:color w:val="4A4A4A"/>
      <w:sz w:val="21"/>
      <w:szCs w:val="21"/>
      <w:shd w:val="clear" w:color="auto" w:fill="FFFFFF"/>
      <w:lang w:val="en-GB" w:eastAsia="en-GB"/>
    </w:rPr>
  </w:style>
  <w:style w:type="paragraph" w:customStyle="1" w:styleId="MGTHeader">
    <w:name w:val="M.G+T.Header"/>
    <w:basedOn w:val="a"/>
    <w:link w:val="MGTHeaderChar"/>
    <w:qFormat/>
    <w:rsid w:val="00F07DB2"/>
    <w:pPr>
      <w:shd w:val="clear" w:color="auto" w:fill="F5F5F5"/>
      <w:spacing w:after="0" w:line="276" w:lineRule="auto"/>
      <w:outlineLvl w:val="4"/>
    </w:pPr>
    <w:rPr>
      <w:rFonts w:eastAsia="Times New Roman" w:cs="Times New Roman"/>
      <w:color w:val="333333"/>
      <w:sz w:val="21"/>
      <w:szCs w:val="21"/>
      <w:lang w:val="en-GB" w:eastAsia="en-GB"/>
    </w:rPr>
  </w:style>
  <w:style w:type="character" w:customStyle="1" w:styleId="MGTHeaderChar">
    <w:name w:val="M.G+T.Header Char"/>
    <w:basedOn w:val="a0"/>
    <w:link w:val="MGTHeader"/>
    <w:rsid w:val="00F07DB2"/>
    <w:rPr>
      <w:rFonts w:eastAsia="Times New Roman" w:cs="Times New Roman"/>
      <w:color w:val="333333"/>
      <w:sz w:val="21"/>
      <w:szCs w:val="21"/>
      <w:shd w:val="clear" w:color="auto" w:fill="F5F5F5"/>
      <w:lang w:val="en-GB" w:eastAsia="en-GB"/>
    </w:rPr>
  </w:style>
  <w:style w:type="paragraph" w:customStyle="1" w:styleId="MIndHeader">
    <w:name w:val="M.Ind.Header"/>
    <w:basedOn w:val="a"/>
    <w:link w:val="MIndHeaderChar"/>
    <w:qFormat/>
    <w:rsid w:val="00F07DB2"/>
    <w:pPr>
      <w:shd w:val="clear" w:color="auto" w:fill="F5F5F5"/>
      <w:spacing w:after="0" w:line="276" w:lineRule="auto"/>
      <w:outlineLvl w:val="1"/>
    </w:pPr>
    <w:rPr>
      <w:rFonts w:eastAsia="Times New Roman" w:cs="Times New Roman"/>
      <w:color w:val="1C75BC"/>
      <w:lang w:val="en-GB" w:eastAsia="en-GB"/>
    </w:rPr>
  </w:style>
  <w:style w:type="character" w:customStyle="1" w:styleId="MIndHeaderChar">
    <w:name w:val="M.Ind.Header Char"/>
    <w:basedOn w:val="a0"/>
    <w:link w:val="MIndHeader"/>
    <w:rsid w:val="00F07DB2"/>
    <w:rPr>
      <w:rFonts w:eastAsia="Times New Roman" w:cs="Times New Roman"/>
      <w:color w:val="1C75BC"/>
      <w:shd w:val="clear" w:color="auto" w:fill="F5F5F5"/>
      <w:lang w:val="en-GB" w:eastAsia="en-GB"/>
    </w:rPr>
  </w:style>
  <w:style w:type="character" w:customStyle="1" w:styleId="af1">
    <w:name w:val="Текст концевой сноски Знак"/>
    <w:basedOn w:val="a0"/>
    <w:link w:val="af2"/>
    <w:uiPriority w:val="99"/>
    <w:semiHidden/>
    <w:rsid w:val="00F07DB2"/>
    <w:rPr>
      <w:rFonts w:ascii="Calibri" w:eastAsia="Calibri" w:hAnsi="Calibri" w:cs="Times New Roman"/>
      <w:sz w:val="20"/>
      <w:szCs w:val="20"/>
      <w:lang w:val="en-GB"/>
    </w:rPr>
  </w:style>
  <w:style w:type="paragraph" w:styleId="af2">
    <w:name w:val="endnote text"/>
    <w:basedOn w:val="a"/>
    <w:link w:val="af1"/>
    <w:uiPriority w:val="99"/>
    <w:semiHidden/>
    <w:unhideWhenUsed/>
    <w:rsid w:val="00F07DB2"/>
    <w:pPr>
      <w:spacing w:after="0" w:line="240" w:lineRule="auto"/>
    </w:pPr>
    <w:rPr>
      <w:rFonts w:ascii="Calibri" w:eastAsia="Calibri" w:hAnsi="Calibri" w:cs="Times New Roman"/>
      <w:sz w:val="20"/>
      <w:szCs w:val="20"/>
      <w:lang w:val="en-GB"/>
    </w:rPr>
  </w:style>
  <w:style w:type="paragraph" w:styleId="af3">
    <w:name w:val="TOC Heading"/>
    <w:basedOn w:val="1"/>
    <w:next w:val="a"/>
    <w:uiPriority w:val="39"/>
    <w:unhideWhenUsed/>
    <w:qFormat/>
    <w:rsid w:val="00F07DB2"/>
    <w:pPr>
      <w:spacing w:before="240" w:line="259" w:lineRule="auto"/>
      <w:jc w:val="left"/>
      <w:outlineLvl w:val="9"/>
    </w:pPr>
    <w:rPr>
      <w:rFonts w:ascii="Calibri Light" w:eastAsia="Times New Roman" w:hAnsi="Calibri Light" w:cs="Times New Roman"/>
      <w:b w:val="0"/>
      <w:bCs w:val="0"/>
      <w:color w:val="2E74B5"/>
      <w:sz w:val="32"/>
      <w:szCs w:val="32"/>
      <w:lang w:val="en-US"/>
    </w:rPr>
  </w:style>
  <w:style w:type="character" w:styleId="af4">
    <w:name w:val="Hyperlink"/>
    <w:basedOn w:val="a0"/>
    <w:uiPriority w:val="99"/>
    <w:unhideWhenUsed/>
    <w:rsid w:val="00D51602"/>
    <w:rPr>
      <w:color w:val="0000FF" w:themeColor="hyperlink"/>
      <w:u w:val="single"/>
    </w:rPr>
  </w:style>
  <w:style w:type="paragraph" w:customStyle="1" w:styleId="NonNumbered">
    <w:name w:val="NonNumbered"/>
    <w:basedOn w:val="a"/>
    <w:rsid w:val="00D51602"/>
    <w:pPr>
      <w:spacing w:before="240" w:after="240" w:line="240" w:lineRule="auto"/>
      <w:ind w:left="1134"/>
      <w:jc w:val="both"/>
    </w:pPr>
    <w:rPr>
      <w:rFonts w:ascii="Calibri" w:eastAsia="Times New Roman" w:hAnsi="Calibri" w:cs="Times New Roman"/>
      <w:szCs w:val="20"/>
      <w:lang w:val="en-US"/>
    </w:rPr>
  </w:style>
  <w:style w:type="paragraph" w:customStyle="1" w:styleId="Default">
    <w:name w:val="Default"/>
    <w:rsid w:val="00D51602"/>
    <w:pPr>
      <w:autoSpaceDE w:val="0"/>
      <w:autoSpaceDN w:val="0"/>
      <w:adjustRightInd w:val="0"/>
      <w:spacing w:after="0" w:line="240" w:lineRule="auto"/>
    </w:pPr>
    <w:rPr>
      <w:rFonts w:ascii="Garamond" w:eastAsia="Calibri" w:hAnsi="Garamond" w:cs="Garamond"/>
      <w:color w:val="000000"/>
      <w:sz w:val="24"/>
      <w:szCs w:val="24"/>
      <w:lang w:val="en-GB"/>
    </w:rPr>
  </w:style>
  <w:style w:type="paragraph" w:styleId="11">
    <w:name w:val="toc 1"/>
    <w:basedOn w:val="a"/>
    <w:next w:val="a"/>
    <w:autoRedefine/>
    <w:uiPriority w:val="39"/>
    <w:unhideWhenUsed/>
    <w:rsid w:val="00D51602"/>
    <w:pPr>
      <w:tabs>
        <w:tab w:val="left" w:pos="440"/>
        <w:tab w:val="right" w:leader="dot" w:pos="9016"/>
      </w:tabs>
      <w:spacing w:after="100"/>
    </w:pPr>
    <w:rPr>
      <w:rFonts w:ascii="Calibri" w:eastAsia="Times New Roman" w:hAnsi="Calibri" w:cs="Times New Roman"/>
      <w:sz w:val="24"/>
      <w:szCs w:val="24"/>
      <w:lang w:val="en-US"/>
    </w:rPr>
  </w:style>
  <w:style w:type="paragraph" w:styleId="21">
    <w:name w:val="toc 2"/>
    <w:basedOn w:val="a"/>
    <w:next w:val="a"/>
    <w:autoRedefine/>
    <w:uiPriority w:val="39"/>
    <w:unhideWhenUsed/>
    <w:rsid w:val="00D51602"/>
    <w:pPr>
      <w:spacing w:after="0" w:line="240" w:lineRule="auto"/>
      <w:ind w:left="240"/>
    </w:pPr>
    <w:rPr>
      <w:rFonts w:ascii="Calibri" w:eastAsia="Times New Roman" w:hAnsi="Calibri" w:cs="Times New Roman"/>
      <w:sz w:val="24"/>
      <w:szCs w:val="24"/>
      <w:lang w:val="en-US"/>
    </w:rPr>
  </w:style>
  <w:style w:type="paragraph" w:customStyle="1" w:styleId="font5">
    <w:name w:val="font5"/>
    <w:basedOn w:val="a"/>
    <w:rsid w:val="00D51602"/>
    <w:pPr>
      <w:spacing w:before="100" w:beforeAutospacing="1" w:after="100" w:afterAutospacing="1" w:line="240" w:lineRule="auto"/>
    </w:pPr>
    <w:rPr>
      <w:rFonts w:ascii="Arial Narrow" w:eastAsia="Times New Roman" w:hAnsi="Arial Narrow" w:cs="Times New Roman"/>
      <w:sz w:val="20"/>
      <w:szCs w:val="20"/>
      <w:lang w:val="en-GB" w:eastAsia="en-GB"/>
    </w:rPr>
  </w:style>
  <w:style w:type="paragraph" w:customStyle="1" w:styleId="xl67">
    <w:name w:val="xl67"/>
    <w:basedOn w:val="a"/>
    <w:rsid w:val="00D51602"/>
    <w:pPr>
      <w:shd w:val="clear" w:color="000000" w:fill="FFFFFF"/>
      <w:spacing w:before="100" w:beforeAutospacing="1" w:after="100" w:afterAutospacing="1" w:line="240" w:lineRule="auto"/>
      <w:textAlignment w:val="top"/>
    </w:pPr>
    <w:rPr>
      <w:rFonts w:ascii="Calibri" w:eastAsia="Times New Roman" w:hAnsi="Calibri" w:cs="Times New Roman"/>
      <w:sz w:val="24"/>
      <w:szCs w:val="24"/>
      <w:lang w:val="en-GB" w:eastAsia="en-GB"/>
    </w:rPr>
  </w:style>
  <w:style w:type="paragraph" w:customStyle="1" w:styleId="xl68">
    <w:name w:val="xl68"/>
    <w:basedOn w:val="a"/>
    <w:rsid w:val="00D51602"/>
    <w:pPr>
      <w:shd w:val="clear" w:color="000000" w:fill="FFFFFF"/>
      <w:spacing w:before="100" w:beforeAutospacing="1" w:after="100" w:afterAutospacing="1" w:line="240" w:lineRule="auto"/>
      <w:textAlignment w:val="top"/>
    </w:pPr>
    <w:rPr>
      <w:rFonts w:ascii="Calibri" w:eastAsia="Times New Roman" w:hAnsi="Calibri" w:cs="Times New Roman"/>
      <w:sz w:val="20"/>
      <w:szCs w:val="20"/>
      <w:lang w:val="en-GB" w:eastAsia="en-GB"/>
    </w:rPr>
  </w:style>
  <w:style w:type="paragraph" w:customStyle="1" w:styleId="xl69">
    <w:name w:val="xl69"/>
    <w:basedOn w:val="a"/>
    <w:rsid w:val="00D5160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val="en-GB" w:eastAsia="en-GB"/>
    </w:rPr>
  </w:style>
  <w:style w:type="paragraph" w:customStyle="1" w:styleId="xl70">
    <w:name w:val="xl70"/>
    <w:basedOn w:val="a"/>
    <w:rsid w:val="00D51602"/>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71">
    <w:name w:val="xl71"/>
    <w:basedOn w:val="a"/>
    <w:rsid w:val="00D5160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val="en-GB" w:eastAsia="en-GB"/>
    </w:rPr>
  </w:style>
  <w:style w:type="paragraph" w:customStyle="1" w:styleId="xl72">
    <w:name w:val="xl72"/>
    <w:basedOn w:val="a"/>
    <w:rsid w:val="00D51602"/>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73">
    <w:name w:val="xl73"/>
    <w:basedOn w:val="a"/>
    <w:rsid w:val="00D51602"/>
    <w:pPr>
      <w:shd w:val="clear" w:color="000000" w:fill="FFFFFF"/>
      <w:spacing w:before="100" w:beforeAutospacing="1" w:after="100" w:afterAutospacing="1" w:line="240" w:lineRule="auto"/>
      <w:jc w:val="center"/>
      <w:textAlignment w:val="top"/>
    </w:pPr>
    <w:rPr>
      <w:rFonts w:ascii="Calibri" w:eastAsia="Times New Roman" w:hAnsi="Calibri" w:cs="Times New Roman"/>
      <w:sz w:val="24"/>
      <w:szCs w:val="24"/>
      <w:lang w:val="en-GB" w:eastAsia="en-GB"/>
    </w:rPr>
  </w:style>
  <w:style w:type="paragraph" w:customStyle="1" w:styleId="xl74">
    <w:name w:val="xl74"/>
    <w:basedOn w:val="a"/>
    <w:rsid w:val="00D51602"/>
    <w:pPr>
      <w:shd w:val="clear" w:color="000000" w:fill="FFFFFF"/>
      <w:spacing w:before="100" w:beforeAutospacing="1" w:after="100" w:afterAutospacing="1" w:line="240" w:lineRule="auto"/>
      <w:jc w:val="center"/>
      <w:textAlignment w:val="top"/>
    </w:pPr>
    <w:rPr>
      <w:rFonts w:ascii="Calibri" w:eastAsia="Times New Roman" w:hAnsi="Calibri" w:cs="Times New Roman"/>
      <w:sz w:val="20"/>
      <w:szCs w:val="20"/>
      <w:lang w:val="en-GB" w:eastAsia="en-GB"/>
    </w:rPr>
  </w:style>
  <w:style w:type="paragraph" w:customStyle="1" w:styleId="xl75">
    <w:name w:val="xl75"/>
    <w:basedOn w:val="a"/>
    <w:rsid w:val="00D5160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76">
    <w:name w:val="xl76"/>
    <w:basedOn w:val="a"/>
    <w:rsid w:val="00D51602"/>
    <w:pPr>
      <w:pBdr>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sz w:val="20"/>
      <w:szCs w:val="20"/>
      <w:lang w:val="en-GB" w:eastAsia="en-GB"/>
    </w:rPr>
  </w:style>
  <w:style w:type="paragraph" w:customStyle="1" w:styleId="xl77">
    <w:name w:val="xl77"/>
    <w:basedOn w:val="a"/>
    <w:rsid w:val="00D51602"/>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78">
    <w:name w:val="xl78"/>
    <w:basedOn w:val="a"/>
    <w:rsid w:val="00D51602"/>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79">
    <w:name w:val="xl79"/>
    <w:basedOn w:val="a"/>
    <w:rsid w:val="00D5160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80">
    <w:name w:val="xl80"/>
    <w:basedOn w:val="a"/>
    <w:rsid w:val="00D51602"/>
    <w:pPr>
      <w:shd w:val="clear" w:color="000000" w:fill="FFFFFF"/>
      <w:spacing w:before="100" w:beforeAutospacing="1" w:after="100" w:afterAutospacing="1" w:line="240" w:lineRule="auto"/>
      <w:jc w:val="center"/>
      <w:textAlignment w:val="top"/>
    </w:pPr>
    <w:rPr>
      <w:rFonts w:ascii="Calibri" w:eastAsia="Times New Roman" w:hAnsi="Calibri" w:cs="Times New Roman"/>
      <w:sz w:val="20"/>
      <w:szCs w:val="20"/>
      <w:lang w:val="en-GB" w:eastAsia="en-GB"/>
    </w:rPr>
  </w:style>
  <w:style w:type="paragraph" w:customStyle="1" w:styleId="xl81">
    <w:name w:val="xl81"/>
    <w:basedOn w:val="a"/>
    <w:rsid w:val="00D51602"/>
    <w:pPr>
      <w:pBdr>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Times New Roman"/>
      <w:sz w:val="20"/>
      <w:szCs w:val="20"/>
      <w:lang w:val="en-GB" w:eastAsia="en-GB"/>
    </w:rPr>
  </w:style>
  <w:style w:type="paragraph" w:customStyle="1" w:styleId="xl82">
    <w:name w:val="xl82"/>
    <w:basedOn w:val="a"/>
    <w:rsid w:val="00D51602"/>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83">
    <w:name w:val="xl83"/>
    <w:basedOn w:val="a"/>
    <w:rsid w:val="00D5160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val="en-GB" w:eastAsia="en-GB"/>
    </w:rPr>
  </w:style>
  <w:style w:type="paragraph" w:customStyle="1" w:styleId="xl84">
    <w:name w:val="xl84"/>
    <w:basedOn w:val="a"/>
    <w:rsid w:val="00D5160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val="en-GB" w:eastAsia="en-GB"/>
    </w:rPr>
  </w:style>
  <w:style w:type="paragraph" w:customStyle="1" w:styleId="xl85">
    <w:name w:val="xl85"/>
    <w:basedOn w:val="a"/>
    <w:rsid w:val="00D51602"/>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86">
    <w:name w:val="xl86"/>
    <w:basedOn w:val="a"/>
    <w:rsid w:val="00D5160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val="en-GB" w:eastAsia="en-GB"/>
    </w:rPr>
  </w:style>
  <w:style w:type="paragraph" w:customStyle="1" w:styleId="xl87">
    <w:name w:val="xl87"/>
    <w:basedOn w:val="a"/>
    <w:rsid w:val="00D5160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val="en-GB" w:eastAsia="en-GB"/>
    </w:rPr>
  </w:style>
  <w:style w:type="paragraph" w:customStyle="1" w:styleId="xl88">
    <w:name w:val="xl88"/>
    <w:basedOn w:val="a"/>
    <w:rsid w:val="00D51602"/>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89">
    <w:name w:val="xl89"/>
    <w:basedOn w:val="a"/>
    <w:rsid w:val="00D5160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90">
    <w:name w:val="xl90"/>
    <w:basedOn w:val="a"/>
    <w:rsid w:val="00D5160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91">
    <w:name w:val="xl91"/>
    <w:basedOn w:val="a"/>
    <w:rsid w:val="00D5160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val="en-GB" w:eastAsia="en-GB"/>
    </w:rPr>
  </w:style>
  <w:style w:type="paragraph" w:customStyle="1" w:styleId="xl92">
    <w:name w:val="xl92"/>
    <w:basedOn w:val="a"/>
    <w:rsid w:val="00D51602"/>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val="en-GB" w:eastAsia="en-GB"/>
    </w:rPr>
  </w:style>
  <w:style w:type="paragraph" w:customStyle="1" w:styleId="xl93">
    <w:name w:val="xl93"/>
    <w:basedOn w:val="a"/>
    <w:rsid w:val="00D51602"/>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94">
    <w:name w:val="xl94"/>
    <w:basedOn w:val="a"/>
    <w:rsid w:val="00D51602"/>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95">
    <w:name w:val="xl95"/>
    <w:basedOn w:val="a"/>
    <w:rsid w:val="00D51602"/>
    <w:pPr>
      <w:shd w:val="clear" w:color="000000" w:fill="FFFFFF"/>
      <w:spacing w:before="100" w:beforeAutospacing="1" w:after="100" w:afterAutospacing="1" w:line="240" w:lineRule="auto"/>
      <w:textAlignment w:val="top"/>
    </w:pPr>
    <w:rPr>
      <w:rFonts w:ascii="Calibri" w:eastAsia="Times New Roman" w:hAnsi="Calibri" w:cs="Times New Roman"/>
      <w:sz w:val="24"/>
      <w:szCs w:val="24"/>
      <w:lang w:val="en-GB" w:eastAsia="en-GB"/>
    </w:rPr>
  </w:style>
  <w:style w:type="paragraph" w:customStyle="1" w:styleId="xl96">
    <w:name w:val="xl96"/>
    <w:basedOn w:val="a"/>
    <w:rsid w:val="00D51602"/>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97">
    <w:name w:val="xl97"/>
    <w:basedOn w:val="a"/>
    <w:rsid w:val="00D51602"/>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98">
    <w:name w:val="xl98"/>
    <w:basedOn w:val="a"/>
    <w:rsid w:val="00D51602"/>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99">
    <w:name w:val="xl99"/>
    <w:basedOn w:val="a"/>
    <w:rsid w:val="00D51602"/>
    <w:pPr>
      <w:spacing w:before="100" w:beforeAutospacing="1" w:after="100" w:afterAutospacing="1" w:line="240" w:lineRule="auto"/>
      <w:textAlignment w:val="top"/>
    </w:pPr>
    <w:rPr>
      <w:rFonts w:ascii="Calibri" w:eastAsia="Times New Roman" w:hAnsi="Calibri" w:cs="Times New Roman"/>
      <w:sz w:val="20"/>
      <w:szCs w:val="20"/>
      <w:lang w:val="en-GB" w:eastAsia="en-GB"/>
    </w:rPr>
  </w:style>
  <w:style w:type="paragraph" w:customStyle="1" w:styleId="xl100">
    <w:name w:val="xl100"/>
    <w:basedOn w:val="a"/>
    <w:rsid w:val="00D51602"/>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library.wiley.com/doi/abs/10.1111/j.1564-913X.2002.tb00230.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lo.org/global/standards/applying-and-promoting-international-labour-standards/committee-on-freedom-of-association/WCMS_090632/lang--en/index.htm" TargetMode="External"/><Relationship Id="rId17" Type="http://schemas.openxmlformats.org/officeDocument/2006/relationships/hyperlink" Target="https://www.ilo.org/integration/resources/papers/WCMS_150702/lang--en/index.htm" TargetMode="External"/><Relationship Id="rId2" Type="http://schemas.openxmlformats.org/officeDocument/2006/relationships/numbering" Target="numbering.xml"/><Relationship Id="rId16" Type="http://schemas.openxmlformats.org/officeDocument/2006/relationships/hyperlink" Target="https://link.springer.com/article/10.1007/s11205-008-9320-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lo.org/global/research/global-reports/global-employment-trends/2014/WCMS_233953/lang--en/index.htm" TargetMode="External"/><Relationship Id="rId5" Type="http://schemas.openxmlformats.org/officeDocument/2006/relationships/settings" Target="settings.xml"/><Relationship Id="rId15" Type="http://schemas.openxmlformats.org/officeDocument/2006/relationships/hyperlink" Target="http://journals.sagepub.com/doi/abs/10.1177/0010414006293442" TargetMode="External"/><Relationship Id="rId10" Type="http://schemas.openxmlformats.org/officeDocument/2006/relationships/hyperlink" Target="https://www.unc.edu/~lmosley/GMP%20APSR%202009.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ol.gov/agencies/ilab/refining-nas-ilab-matrix-literature-review" TargetMode="External"/><Relationship Id="rId14" Type="http://schemas.openxmlformats.org/officeDocument/2006/relationships/hyperlink" Target="https://link.springer.com/chapter/10.1007%2F978-1-4020-5310-8_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6C090-BE36-48E7-8531-8FE7A7A0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26</Pages>
  <Words>8247</Words>
  <Characters>47012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55149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Агзамова Вероника Радиковна</cp:lastModifiedBy>
  <cp:revision>11</cp:revision>
  <cp:lastPrinted>2019-03-05T14:16:00Z</cp:lastPrinted>
  <dcterms:created xsi:type="dcterms:W3CDTF">2018-11-19T08:06:00Z</dcterms:created>
  <dcterms:modified xsi:type="dcterms:W3CDTF">2019-04-16T12:46:00Z</dcterms:modified>
</cp:coreProperties>
</file>