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D3" w:rsidRPr="00203426" w:rsidRDefault="00BB45D3" w:rsidP="000F3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8.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BB45D3" w:rsidRPr="00203426" w:rsidRDefault="00BB45D3" w:rsidP="000F3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8.b</w:t>
      </w:r>
      <w:proofErr w:type="gramStart"/>
      <w:r w:rsidRPr="002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2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 году разработать и ввести в действие глобальную стратегию обеспечения занятости молодежи и осуществить Глобальный пакт о рабочих местах Международной организации труда</w:t>
      </w:r>
    </w:p>
    <w:p w:rsidR="00BB45D3" w:rsidRPr="000F34CA" w:rsidRDefault="00BB45D3" w:rsidP="000F34CA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03426">
        <w:rPr>
          <w:rFonts w:ascii="Times New Roman" w:hAnsi="Times New Roman" w:cs="Times New Roman"/>
          <w:b/>
          <w:color w:val="0070C0"/>
          <w:sz w:val="24"/>
          <w:szCs w:val="24"/>
        </w:rPr>
        <w:t>8.b.1 Наличие разработанной и осуществляемой национальной стратегии молодежной занятости в качестве отдельной стратегии или в рамках национальной стратегии в области занятости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B45D3" w:rsidRPr="00203426" w:rsidRDefault="00BB45D3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26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203426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203426">
        <w:rPr>
          <w:rFonts w:ascii="Times New Roman" w:hAnsi="Times New Roman" w:cs="Times New Roman"/>
          <w:b/>
          <w:sz w:val="24"/>
          <w:szCs w:val="24"/>
        </w:rPr>
        <w:t>и):</w:t>
      </w:r>
    </w:p>
    <w:p w:rsidR="00BB45D3" w:rsidRPr="00203426" w:rsidRDefault="0081364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Международная организация труда (МОТ)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13645" w:rsidRPr="00203426" w:rsidRDefault="0081364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Предлагаемая методология основывается </w:t>
      </w:r>
      <w:proofErr w:type="gramStart"/>
      <w:r w:rsidRPr="002034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3426">
        <w:rPr>
          <w:rFonts w:ascii="Times New Roman" w:hAnsi="Times New Roman" w:cs="Times New Roman"/>
          <w:sz w:val="24"/>
          <w:szCs w:val="24"/>
        </w:rPr>
        <w:t>:</w:t>
      </w:r>
    </w:p>
    <w:p w:rsidR="00813645" w:rsidRPr="00203426" w:rsidRDefault="0081364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203426">
        <w:rPr>
          <w:rFonts w:ascii="Times New Roman" w:hAnsi="Times New Roman" w:cs="Times New Roman"/>
          <w:sz w:val="24"/>
          <w:szCs w:val="24"/>
        </w:rPr>
        <w:t>Инструмент</w:t>
      </w:r>
      <w:r w:rsidR="00203426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203426">
        <w:rPr>
          <w:rFonts w:ascii="Times New Roman" w:hAnsi="Times New Roman" w:cs="Times New Roman"/>
          <w:sz w:val="24"/>
          <w:szCs w:val="24"/>
        </w:rPr>
        <w:t xml:space="preserve"> глобальной политики, в частности:</w:t>
      </w:r>
    </w:p>
    <w:p w:rsidR="00813645" w:rsidRPr="00203426" w:rsidRDefault="00813645" w:rsidP="00203426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Резолюция о кризисе занятости молодежи: призыв к действиям</w:t>
      </w:r>
      <w:r w:rsidR="00A616E4" w:rsidRPr="00203426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03426">
        <w:rPr>
          <w:rFonts w:ascii="Times New Roman" w:hAnsi="Times New Roman" w:cs="Times New Roman"/>
          <w:sz w:val="24"/>
          <w:szCs w:val="24"/>
        </w:rPr>
        <w:t>, принятый на 101-й сессии Международной конференции труда (ILC) в июне 2012 года. Призывая к энергичным коллективным действиям по преодолению обострившегося кризиса занятости молодежи, данная резолюция выступает за многосторонний подход, предусматривающий принятие политических мер, учитывающих конкретные условия, и комплексных стратегий, предусматривающих согласованное объединение различных инструментов для увеличения спроса, расширения предложения и повышающих эффективность на молодежных рынках труда.</w:t>
      </w:r>
    </w:p>
    <w:p w:rsidR="00DD2B63" w:rsidRPr="00203426" w:rsidRDefault="00A616E4" w:rsidP="00203426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Восстановление после кризиса: глобальный пакт о рабочих местах</w:t>
      </w:r>
      <w:r w:rsidRPr="0020342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03426">
        <w:rPr>
          <w:rFonts w:ascii="Times New Roman" w:hAnsi="Times New Roman" w:cs="Times New Roman"/>
          <w:sz w:val="24"/>
          <w:szCs w:val="24"/>
        </w:rPr>
        <w:t xml:space="preserve">, принятый </w:t>
      </w:r>
      <w:r w:rsidR="00BD2110" w:rsidRPr="00203426">
        <w:rPr>
          <w:rFonts w:ascii="Times New Roman" w:hAnsi="Times New Roman" w:cs="Times New Roman"/>
          <w:sz w:val="24"/>
          <w:szCs w:val="24"/>
        </w:rPr>
        <w:t>ILC</w:t>
      </w:r>
      <w:r w:rsidRPr="00203426">
        <w:rPr>
          <w:rFonts w:ascii="Times New Roman" w:hAnsi="Times New Roman" w:cs="Times New Roman"/>
          <w:sz w:val="24"/>
          <w:szCs w:val="24"/>
        </w:rPr>
        <w:t xml:space="preserve"> на ее сессии в июне 2009 года. На основе программы достойного труда МОТ, глобальный пакт о рабочих местах представляет собой комплекс принципов, </w:t>
      </w:r>
      <w:r w:rsidRPr="00203426">
        <w:rPr>
          <w:rFonts w:ascii="Times New Roman" w:hAnsi="Times New Roman" w:cs="Times New Roman"/>
          <w:sz w:val="24"/>
          <w:szCs w:val="24"/>
        </w:rPr>
        <w:lastRenderedPageBreak/>
        <w:t>занятости и социальной защиты в центр кризисного реагирования, признавая важную роль участия и социального диалога.</w:t>
      </w:r>
    </w:p>
    <w:p w:rsidR="00A616E4" w:rsidRPr="00203426" w:rsidRDefault="00CD4D1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42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203426">
        <w:rPr>
          <w:rFonts w:ascii="Times New Roman" w:hAnsi="Times New Roman" w:cs="Times New Roman"/>
          <w:sz w:val="24"/>
          <w:szCs w:val="24"/>
        </w:rPr>
        <w:t>. Базы данных МОТ:</w:t>
      </w:r>
    </w:p>
    <w:p w:rsidR="00CD4D15" w:rsidRPr="00203426" w:rsidRDefault="00CD4D15" w:rsidP="0020342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Международный мониторинг политики занятости молодежи проводился в течение 2010-2012 годов сетью по вопросам занятости молодежи (</w:t>
      </w:r>
      <w:r w:rsidRPr="00203426">
        <w:rPr>
          <w:rFonts w:ascii="Times New Roman" w:hAnsi="Times New Roman" w:cs="Times New Roman"/>
          <w:sz w:val="24"/>
          <w:szCs w:val="24"/>
          <w:lang w:val="en-US"/>
        </w:rPr>
        <w:t>YEN</w:t>
      </w:r>
      <w:r w:rsidRPr="00203426">
        <w:rPr>
          <w:rFonts w:ascii="Times New Roman" w:hAnsi="Times New Roman" w:cs="Times New Roman"/>
          <w:sz w:val="24"/>
          <w:szCs w:val="24"/>
        </w:rPr>
        <w:t xml:space="preserve">) – партнерским объединением </w:t>
      </w:r>
      <w:proofErr w:type="gramStart"/>
      <w:r w:rsidRPr="0020342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03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426">
        <w:rPr>
          <w:rFonts w:ascii="Times New Roman" w:hAnsi="Times New Roman" w:cs="Times New Roman"/>
          <w:sz w:val="24"/>
          <w:szCs w:val="24"/>
        </w:rPr>
        <w:t>МОТ</w:t>
      </w:r>
      <w:proofErr w:type="gramEnd"/>
      <w:r w:rsidRPr="00203426">
        <w:rPr>
          <w:rFonts w:ascii="Times New Roman" w:hAnsi="Times New Roman" w:cs="Times New Roman"/>
          <w:sz w:val="24"/>
          <w:szCs w:val="24"/>
        </w:rPr>
        <w:t xml:space="preserve">, Организацией Объединенных Наций и Всемирным банком - с использованием вопросника, направленного национальным органам власти. Это превратилось в </w:t>
      </w:r>
      <w:proofErr w:type="spellStart"/>
      <w:r w:rsidRPr="00203426">
        <w:rPr>
          <w:rFonts w:ascii="Times New Roman" w:hAnsi="Times New Roman" w:cs="Times New Roman"/>
          <w:sz w:val="24"/>
          <w:szCs w:val="24"/>
          <w:lang w:val="en-US"/>
        </w:rPr>
        <w:t>YouthPOL</w:t>
      </w:r>
      <w:proofErr w:type="spellEnd"/>
      <w:r w:rsidRPr="00203426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Pr="00203426">
        <w:rPr>
          <w:rFonts w:ascii="Times New Roman" w:hAnsi="Times New Roman" w:cs="Times New Roman"/>
          <w:sz w:val="24"/>
          <w:szCs w:val="24"/>
        </w:rPr>
        <w:t>, перечень мер и программ молодежной занятости, поддерживаемых МОТ (на сегодняшний день охвачено 65 стран).</w:t>
      </w:r>
    </w:p>
    <w:p w:rsidR="00CD4D15" w:rsidRPr="00203426" w:rsidRDefault="00CD4D15" w:rsidP="0020342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МОТ также ведет </w:t>
      </w:r>
      <w:proofErr w:type="spellStart"/>
      <w:r w:rsidRPr="00203426">
        <w:rPr>
          <w:rFonts w:ascii="Times New Roman" w:hAnsi="Times New Roman" w:cs="Times New Roman"/>
          <w:sz w:val="24"/>
          <w:szCs w:val="24"/>
        </w:rPr>
        <w:t>EmPol</w:t>
      </w:r>
      <w:proofErr w:type="spellEnd"/>
      <w:r w:rsidRPr="00203426">
        <w:rPr>
          <w:rFonts w:ascii="Times New Roman" w:hAnsi="Times New Roman" w:cs="Times New Roman"/>
          <w:sz w:val="24"/>
          <w:szCs w:val="24"/>
        </w:rPr>
        <w:t>, набор данных о более широкой национальной политике в области занятости (охвачены 143 страны).</w:t>
      </w:r>
    </w:p>
    <w:p w:rsidR="00CD4D15" w:rsidRPr="00203426" w:rsidRDefault="00CD4D1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с. Экспертные знания и опыт МОТ:</w:t>
      </w:r>
    </w:p>
    <w:p w:rsidR="00CD4D15" w:rsidRPr="00203426" w:rsidRDefault="00CD4D15" w:rsidP="00203426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Департамент статистики (STATISTICS) работает над тем, чтобы предоставлять актуальную, своевременную и надежную статистику труда, разрабатывать международные стандарты для лучшего измерения трудовых вопросов и повышения международной сопоставимости, а также </w:t>
      </w:r>
      <w:proofErr w:type="gramStart"/>
      <w:r w:rsidRPr="00203426">
        <w:rPr>
          <w:rFonts w:ascii="Times New Roman" w:hAnsi="Times New Roman" w:cs="Times New Roman"/>
          <w:sz w:val="24"/>
          <w:szCs w:val="24"/>
        </w:rPr>
        <w:t>помогать государствам-членам разрабатывать</w:t>
      </w:r>
      <w:proofErr w:type="gramEnd"/>
      <w:r w:rsidRPr="00203426">
        <w:rPr>
          <w:rFonts w:ascii="Times New Roman" w:hAnsi="Times New Roman" w:cs="Times New Roman"/>
          <w:sz w:val="24"/>
          <w:szCs w:val="24"/>
        </w:rPr>
        <w:t xml:space="preserve"> и совершенствовать свою статистику труда.</w:t>
      </w:r>
    </w:p>
    <w:p w:rsidR="00CD4D15" w:rsidRPr="00203426" w:rsidRDefault="00CD4D15" w:rsidP="00203426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Департамент политики в области занятости (</w:t>
      </w:r>
      <w:r w:rsidR="00DF5F1E" w:rsidRPr="00203426">
        <w:rPr>
          <w:rFonts w:ascii="Times New Roman" w:hAnsi="Times New Roman" w:cs="Times New Roman"/>
          <w:sz w:val="24"/>
          <w:szCs w:val="24"/>
        </w:rPr>
        <w:t>EMPLOYMENT</w:t>
      </w:r>
      <w:r w:rsidRPr="00203426">
        <w:rPr>
          <w:rFonts w:ascii="Times New Roman" w:hAnsi="Times New Roman" w:cs="Times New Roman"/>
          <w:sz w:val="24"/>
          <w:szCs w:val="24"/>
        </w:rPr>
        <w:t xml:space="preserve">) отвечает за содействие полной и производительной занятости путем разработки комплексной политики в области занятости, развития и повышения квалификации (ILO, 2012), которая является инклюзивной, учитывающей гендерные аспекты и </w:t>
      </w:r>
      <w:r w:rsidR="00DF5F1E" w:rsidRPr="00203426">
        <w:rPr>
          <w:rFonts w:ascii="Times New Roman" w:hAnsi="Times New Roman" w:cs="Times New Roman"/>
          <w:sz w:val="24"/>
          <w:szCs w:val="24"/>
        </w:rPr>
        <w:t>стабильность</w:t>
      </w:r>
      <w:r w:rsidRPr="00203426">
        <w:rPr>
          <w:rFonts w:ascii="Times New Roman" w:hAnsi="Times New Roman" w:cs="Times New Roman"/>
          <w:sz w:val="24"/>
          <w:szCs w:val="24"/>
        </w:rPr>
        <w:t>. Департаменту поручено координировать усилия МОТ по содействию созданию возможностей для достойной работы для молодых женщин и мужчин; на протяжении ряда лет он оказывал поддержку в разработке, осуществлении и обзоре национальных стратегий и планов действий в области занятости молодежи в различных странах и регионах (ILO, 2008; ILO, 2015). Такого рода целенаправленные действия и связанные с ними достижения были включены в рамки программирования и систему служебной деятельности МОТ.</w:t>
      </w:r>
    </w:p>
    <w:p w:rsidR="00DF5F1E" w:rsidRDefault="00DF5F1E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МОТ оказывает поддержку своим участникам и другим заинтересованным сторонам в области развития посредством накопления знаний и наращивания потенциала, а также посредством пропаганды политики и консультирования. В списке ссылок в конце настоящих метаданных приводятся примеры недавних крупных вкладов МОТ в расширение знаний по вопросам занятости молодежи и политики занятости молодежи (ILO, 2017).</w:t>
      </w:r>
    </w:p>
    <w:p w:rsidR="000F34CA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Методология 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532AF" w:rsidRPr="00203426" w:rsidRDefault="000532AF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26">
        <w:rPr>
          <w:rFonts w:ascii="Times New Roman" w:hAnsi="Times New Roman" w:cs="Times New Roman"/>
          <w:b/>
          <w:sz w:val="24"/>
          <w:szCs w:val="24"/>
        </w:rPr>
        <w:t>Метод расчета:</w:t>
      </w:r>
    </w:p>
    <w:p w:rsidR="000532AF" w:rsidRPr="00203426" w:rsidRDefault="000532AF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Информация и документы, представленные национальными органами, будут проанализированы МОТ, используя нижеприведенную сетку.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220"/>
      </w:tblGrid>
      <w:tr w:rsidR="000532AF" w:rsidRPr="00203426" w:rsidTr="000532AF"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proofErr w:type="spellStart"/>
            <w:r w:rsidRPr="00203426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Значение</w:t>
            </w:r>
            <w:proofErr w:type="spellEnd"/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0342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Описание</w:t>
            </w:r>
          </w:p>
        </w:tc>
      </w:tr>
      <w:tr w:rsidR="000532AF" w:rsidRPr="00203426" w:rsidTr="000532AF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Отсутствующее</w:t>
            </w:r>
            <w:proofErr w:type="spellEnd"/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значение</w:t>
            </w:r>
            <w:proofErr w:type="spellEnd"/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Отсутствует информация для оценки </w:t>
            </w:r>
            <w:proofErr w:type="gramStart"/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наличия национальной стратегии обеспечения занятости молодежи</w:t>
            </w:r>
            <w:proofErr w:type="gramEnd"/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0532AF" w:rsidRPr="00203426" w:rsidTr="000532AF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стране не разработано ни одной национальной стратегии обеспечения занятости молодежи и не предпринимаются шаги по ее разработке или принятию.</w:t>
            </w:r>
          </w:p>
        </w:tc>
      </w:tr>
      <w:tr w:rsidR="000532AF" w:rsidRPr="00203426" w:rsidTr="000532AF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настоящее время в стране разрабатывается национальная стратегия обеспечения занятости молодежи.</w:t>
            </w:r>
          </w:p>
        </w:tc>
      </w:tr>
      <w:tr w:rsidR="000532AF" w:rsidRPr="00203426" w:rsidTr="000532AF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стране разработана и принята национальная стратегия занятости молодежи.</w:t>
            </w:r>
          </w:p>
        </w:tc>
      </w:tr>
      <w:tr w:rsidR="000532AF" w:rsidRPr="00203426" w:rsidTr="000532AF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2AF" w:rsidRPr="00203426" w:rsidRDefault="000532AF" w:rsidP="0020342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34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стране введена в действие национальная стратегия занятости молодежи.</w:t>
            </w:r>
          </w:p>
        </w:tc>
      </w:tr>
    </w:tbl>
    <w:p w:rsidR="000532AF" w:rsidRPr="00203426" w:rsidRDefault="000532AF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532AF" w:rsidRPr="00203426" w:rsidRDefault="000532AF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Во всех случаях сетка относится к национальной стратегии занятости молодежи как к отдельной стратегии или в рамках национальной стратегии занятости.</w:t>
      </w:r>
    </w:p>
    <w:p w:rsidR="000532AF" w:rsidRPr="00203426" w:rsidRDefault="00497ABA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Отсутствующие значения (т. е. отсутствие ответа/неизвестно) следует отмечать как таковые. Их следует исключить из окончательной глобальной и региональной разбивки: пропорции следует рассчитывать только на основе полученных ответов. Тем не менее, будут указаны глобальные и региональные показатели ответов.</w:t>
      </w:r>
    </w:p>
    <w:p w:rsidR="00497ABA" w:rsidRPr="00203426" w:rsidRDefault="00497ABA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Рассматривается возможная разработка метаданных, дополняющих сетку. Среди других аспектов эти примечания могут касаться мер и положений, а также будут учитывать участие национальных трехсторонних участников в разработке и внедрении стратегий.</w:t>
      </w:r>
    </w:p>
    <w:p w:rsidR="00497ABA" w:rsidRPr="00203426" w:rsidRDefault="00497ABA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МОТ может также предусмотреть проведение более подробного анализа отдельных страновых документов для целей, выходящих за рамки мониторинга ЦУР, в целях сбора информации по институциональным и оперативным вопросам в рамках национальных усилий по обеспечению занятости молодежи.</w:t>
      </w:r>
    </w:p>
    <w:p w:rsidR="00497ABA" w:rsidRPr="00203426" w:rsidRDefault="00497ABA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При разработке методологии расчета показателей предпринимаются следующие шаги:</w:t>
      </w:r>
    </w:p>
    <w:p w:rsidR="00497ABA" w:rsidRPr="00203426" w:rsidRDefault="00497ABA" w:rsidP="0020342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Изучение соответствующих политических инструментов, включая вышеупомянутый призыв к действиям и глобальный пакт о занятости. Эти </w:t>
      </w:r>
      <w:r w:rsidRPr="00203426">
        <w:rPr>
          <w:rFonts w:ascii="Times New Roman" w:hAnsi="Times New Roman" w:cs="Times New Roman"/>
          <w:sz w:val="24"/>
          <w:szCs w:val="24"/>
        </w:rPr>
        <w:lastRenderedPageBreak/>
        <w:t>документы, принятые трехсторонними участниками МОТ, обеспечивают прочную основу для определения показателя ЦУР 8.b.1.</w:t>
      </w:r>
    </w:p>
    <w:p w:rsidR="00497ABA" w:rsidRPr="00203426" w:rsidRDefault="00497ABA" w:rsidP="0020342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Обзор баз данных МОТ по вопросам занятости и политики занятости молодежи (</w:t>
      </w:r>
      <w:proofErr w:type="spellStart"/>
      <w:r w:rsidRPr="00203426">
        <w:rPr>
          <w:rFonts w:ascii="Times New Roman" w:hAnsi="Times New Roman" w:cs="Times New Roman"/>
          <w:sz w:val="24"/>
          <w:szCs w:val="24"/>
        </w:rPr>
        <w:t>EmPOL</w:t>
      </w:r>
      <w:proofErr w:type="spellEnd"/>
      <w:r w:rsidRPr="002034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3426">
        <w:rPr>
          <w:rFonts w:ascii="Times New Roman" w:hAnsi="Times New Roman" w:cs="Times New Roman"/>
          <w:sz w:val="24"/>
          <w:szCs w:val="24"/>
        </w:rPr>
        <w:t>YouthPOL</w:t>
      </w:r>
      <w:proofErr w:type="spellEnd"/>
      <w:r w:rsidRPr="00203426">
        <w:rPr>
          <w:rFonts w:ascii="Times New Roman" w:hAnsi="Times New Roman" w:cs="Times New Roman"/>
          <w:sz w:val="24"/>
          <w:szCs w:val="24"/>
        </w:rPr>
        <w:t>), которые поддерживаются Департаментом политики занятости.</w:t>
      </w:r>
    </w:p>
    <w:p w:rsidR="00497ABA" w:rsidRPr="00203426" w:rsidRDefault="00497ABA" w:rsidP="0020342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Методика определения, измерения и подтверждения этого показателя (настоящий документ).</w:t>
      </w:r>
    </w:p>
    <w:p w:rsidR="00497ABA" w:rsidRPr="00203426" w:rsidRDefault="00497ABA" w:rsidP="0020342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Разработка инструмента обследования (вопросника) для сбора информации на национальном уровне о политике в области занятости молодежи от национальных организаций. Информация будет использоваться для определения того, разработали ли страны и внедрили национальную стратегию занятости молодежи в качестве отдельной стратегии или в рамках национальной стратегии занятости или секторов в соответствии с вышеупомянутыми резолюциями ILC.</w:t>
      </w:r>
    </w:p>
    <w:p w:rsidR="00497ABA" w:rsidRPr="00203426" w:rsidRDefault="002A7681" w:rsidP="0020342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Технические рекомендации для поставщиков данных и составителей, а также вышеупомянутый вопросник и подробные примечания.</w:t>
      </w:r>
    </w:p>
    <w:p w:rsidR="002A7681" w:rsidRPr="00203426" w:rsidRDefault="002A7681" w:rsidP="00203426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Опробовать методологию в отдельных странах.</w:t>
      </w:r>
    </w:p>
    <w:p w:rsidR="002A7681" w:rsidRPr="00203426" w:rsidRDefault="002A7681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На протяжении всего процесса будут проводиться консультации с соответствующими министерствами и представителями социальных партнеров.</w:t>
      </w:r>
    </w:p>
    <w:p w:rsidR="002A7681" w:rsidRPr="00203426" w:rsidRDefault="002A7681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Цель показателя ЦУР 8.b.1 в том, чтобы дать представление о прогрессе, достигнутом странами в решении вопросов занятости молодежи. В этой связи предполагается, что официальное принятие стратегии, которая может быть признана в качестве структурированной стратегии обеспечения занятости молодежи, будет означать </w:t>
      </w:r>
      <w:proofErr w:type="spellStart"/>
      <w:r w:rsidRPr="00203426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203426">
        <w:rPr>
          <w:rFonts w:ascii="Times New Roman" w:hAnsi="Times New Roman" w:cs="Times New Roman"/>
          <w:sz w:val="24"/>
          <w:szCs w:val="24"/>
        </w:rPr>
        <w:t xml:space="preserve"> страной большего внимания проблемам молодежного рынка труда по сравнению со странами, не имеющими такой стратегии. Фактически, разработка такой стратегии обычно предполагает широкое участие и консультации/координацию между различными заинтересованными сторонами.</w:t>
      </w:r>
    </w:p>
    <w:p w:rsidR="002A7681" w:rsidRPr="00203426" w:rsidRDefault="002A7681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Следует также учитывать, что правительства могут иметь де-факто национальные стратегии обеспечения занятости молодежи, но не имеют официально принятого де-юре документа. Для </w:t>
      </w:r>
      <w:r w:rsidR="00A44895" w:rsidRPr="00203426">
        <w:rPr>
          <w:rFonts w:ascii="Times New Roman" w:hAnsi="Times New Roman" w:cs="Times New Roman"/>
          <w:sz w:val="24"/>
          <w:szCs w:val="24"/>
        </w:rPr>
        <w:t xml:space="preserve">цели мониторинга показателя </w:t>
      </w:r>
      <w:r w:rsidRPr="00203426">
        <w:rPr>
          <w:rFonts w:ascii="Times New Roman" w:hAnsi="Times New Roman" w:cs="Times New Roman"/>
          <w:sz w:val="24"/>
          <w:szCs w:val="24"/>
        </w:rPr>
        <w:t xml:space="preserve">ЦУР 8.b.1 мы рассмотрим только то, что вытекает из документов </w:t>
      </w:r>
      <w:r w:rsidR="00A44895" w:rsidRPr="00203426">
        <w:rPr>
          <w:rFonts w:ascii="Times New Roman" w:hAnsi="Times New Roman" w:cs="Times New Roman"/>
          <w:sz w:val="24"/>
          <w:szCs w:val="24"/>
        </w:rPr>
        <w:t>де-юре</w:t>
      </w:r>
      <w:r w:rsidRPr="00203426">
        <w:rPr>
          <w:rFonts w:ascii="Times New Roman" w:hAnsi="Times New Roman" w:cs="Times New Roman"/>
          <w:sz w:val="24"/>
          <w:szCs w:val="24"/>
        </w:rPr>
        <w:t>.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Источники данных 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4895" w:rsidRPr="00203426" w:rsidRDefault="00A4489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а. </w:t>
      </w:r>
      <w:r w:rsidRPr="00203426">
        <w:rPr>
          <w:rFonts w:ascii="Times New Roman" w:hAnsi="Times New Roman" w:cs="Times New Roman"/>
          <w:i/>
          <w:sz w:val="24"/>
          <w:szCs w:val="24"/>
        </w:rPr>
        <w:t>Глобальное обследование сбора данных:</w:t>
      </w:r>
      <w:r w:rsidRPr="00203426">
        <w:rPr>
          <w:rFonts w:ascii="Times New Roman" w:hAnsi="Times New Roman" w:cs="Times New Roman"/>
          <w:sz w:val="24"/>
          <w:szCs w:val="24"/>
        </w:rPr>
        <w:t xml:space="preserve"> обращение к ответственным национальным организациям с просьбой предоставить соответствующую информацию и вспомогательные документы; опросник по обследованию разрабатывается и администрируется МОТ с двухгодичной периодичностью для оценки прогресса. Это будет дополняться регулярной информацией и обновлениями из страновых отделений МОТ в </w:t>
      </w:r>
      <w:r w:rsidRPr="00203426">
        <w:rPr>
          <w:rFonts w:ascii="Times New Roman" w:hAnsi="Times New Roman" w:cs="Times New Roman"/>
          <w:sz w:val="24"/>
          <w:szCs w:val="24"/>
        </w:rPr>
        <w:lastRenderedPageBreak/>
        <w:t>отношении разработки, принятия и осуществления политики в области занятости молодежи в странах, охваченных этими отделениями, каждый год.</w:t>
      </w:r>
    </w:p>
    <w:p w:rsidR="00A44895" w:rsidRPr="00203426" w:rsidRDefault="00A4489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2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203426">
        <w:rPr>
          <w:rFonts w:ascii="Times New Roman" w:hAnsi="Times New Roman" w:cs="Times New Roman"/>
          <w:sz w:val="24"/>
          <w:szCs w:val="24"/>
        </w:rPr>
        <w:t xml:space="preserve">. </w:t>
      </w:r>
      <w:r w:rsidRPr="00203426">
        <w:rPr>
          <w:rFonts w:ascii="Times New Roman" w:hAnsi="Times New Roman" w:cs="Times New Roman"/>
          <w:i/>
          <w:sz w:val="24"/>
          <w:szCs w:val="24"/>
        </w:rPr>
        <w:t>Сбор данных:</w:t>
      </w:r>
      <w:r w:rsidRPr="00203426">
        <w:rPr>
          <w:rFonts w:ascii="Times New Roman" w:hAnsi="Times New Roman" w:cs="Times New Roman"/>
          <w:sz w:val="24"/>
          <w:szCs w:val="24"/>
        </w:rPr>
        <w:t xml:space="preserve"> МОТ; распространяемый через ILOSTAT, новый </w:t>
      </w:r>
      <w:proofErr w:type="spellStart"/>
      <w:r w:rsidRPr="00203426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203426">
        <w:rPr>
          <w:rFonts w:ascii="Times New Roman" w:hAnsi="Times New Roman" w:cs="Times New Roman"/>
          <w:sz w:val="24"/>
          <w:szCs w:val="24"/>
        </w:rPr>
        <w:t xml:space="preserve">, посвященный показателю 8.b.1, и активное использование </w:t>
      </w:r>
      <w:proofErr w:type="spellStart"/>
      <w:r w:rsidRPr="00203426">
        <w:rPr>
          <w:rFonts w:ascii="Times New Roman" w:hAnsi="Times New Roman" w:cs="Times New Roman"/>
          <w:sz w:val="24"/>
          <w:szCs w:val="24"/>
        </w:rPr>
        <w:t>YouthPOL</w:t>
      </w:r>
      <w:proofErr w:type="spellEnd"/>
      <w:r w:rsidRPr="0020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426">
        <w:rPr>
          <w:rFonts w:ascii="Times New Roman" w:hAnsi="Times New Roman" w:cs="Times New Roman"/>
          <w:sz w:val="24"/>
          <w:szCs w:val="24"/>
        </w:rPr>
        <w:t>EmPol</w:t>
      </w:r>
      <w:proofErr w:type="spellEnd"/>
      <w:r w:rsidRPr="00203426">
        <w:rPr>
          <w:rFonts w:ascii="Times New Roman" w:hAnsi="Times New Roman" w:cs="Times New Roman"/>
          <w:sz w:val="24"/>
          <w:szCs w:val="24"/>
        </w:rPr>
        <w:t xml:space="preserve"> и других баз данных (например, NATLEX - база данных МОТ о национальном трудовом, социальном обеспечении и соответствующем законодательстве в области прав человека), в зависимости от ситуации.</w:t>
      </w:r>
    </w:p>
    <w:p w:rsidR="003111F3" w:rsidRPr="00203426" w:rsidRDefault="00203426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111F3" w:rsidRPr="00203426">
        <w:rPr>
          <w:rFonts w:ascii="Times New Roman" w:hAnsi="Times New Roman" w:cs="Times New Roman"/>
          <w:i/>
          <w:sz w:val="24"/>
          <w:szCs w:val="24"/>
        </w:rPr>
        <w:t>Валидация</w:t>
      </w:r>
      <w:proofErr w:type="spellEnd"/>
      <w:r w:rsidR="003111F3" w:rsidRPr="00203426">
        <w:rPr>
          <w:rFonts w:ascii="Times New Roman" w:hAnsi="Times New Roman" w:cs="Times New Roman"/>
          <w:i/>
          <w:sz w:val="24"/>
          <w:szCs w:val="24"/>
        </w:rPr>
        <w:t xml:space="preserve"> данных:</w:t>
      </w:r>
      <w:r w:rsidR="003111F3" w:rsidRPr="00203426">
        <w:rPr>
          <w:rFonts w:ascii="Times New Roman" w:hAnsi="Times New Roman" w:cs="Times New Roman"/>
          <w:sz w:val="24"/>
          <w:szCs w:val="24"/>
        </w:rPr>
        <w:t xml:space="preserve"> Регулярные проверки качества будут проводиться по всем данным, в частности, когда: (i) уже имеющийся документ не был непосредственно предоставлен самим правительством; (</w:t>
      </w:r>
      <w:proofErr w:type="spellStart"/>
      <w:r w:rsidR="003111F3" w:rsidRPr="0020342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3111F3" w:rsidRPr="00203426">
        <w:rPr>
          <w:rFonts w:ascii="Times New Roman" w:hAnsi="Times New Roman" w:cs="Times New Roman"/>
          <w:sz w:val="24"/>
          <w:szCs w:val="24"/>
        </w:rPr>
        <w:t>) неясно, была ли официально принята стратегия и соответствующий план действий; или (</w:t>
      </w:r>
      <w:proofErr w:type="spellStart"/>
      <w:r w:rsidR="003111F3" w:rsidRPr="00203426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3111F3" w:rsidRPr="00203426">
        <w:rPr>
          <w:rFonts w:ascii="Times New Roman" w:hAnsi="Times New Roman" w:cs="Times New Roman"/>
          <w:sz w:val="24"/>
          <w:szCs w:val="24"/>
        </w:rPr>
        <w:t>) есть сомнения в отношении реализации стратегии.</w:t>
      </w:r>
    </w:p>
    <w:p w:rsidR="003111F3" w:rsidRPr="00203426" w:rsidRDefault="003111F3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Информация будет выпускаться ежегодно через соответствующие каналы отчетности.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111F3" w:rsidRPr="00203426" w:rsidRDefault="003111F3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26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A44895" w:rsidRPr="00203426" w:rsidRDefault="003111F3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Методология в основном основана на проверенной методологии (см. Приложение), используемой для базы данных МОТ по вопросам занятости молодежи (</w:t>
      </w:r>
      <w:proofErr w:type="spellStart"/>
      <w:r w:rsidRPr="00203426">
        <w:rPr>
          <w:rFonts w:ascii="Times New Roman" w:hAnsi="Times New Roman" w:cs="Times New Roman"/>
          <w:sz w:val="24"/>
          <w:szCs w:val="24"/>
        </w:rPr>
        <w:t>YouthPOL</w:t>
      </w:r>
      <w:proofErr w:type="spellEnd"/>
      <w:r w:rsidRPr="00203426">
        <w:rPr>
          <w:rFonts w:ascii="Times New Roman" w:hAnsi="Times New Roman" w:cs="Times New Roman"/>
          <w:sz w:val="24"/>
          <w:szCs w:val="24"/>
        </w:rPr>
        <w:t xml:space="preserve">), которая охватывает 65 стран в 5 регионах, включая: </w:t>
      </w:r>
      <w:proofErr w:type="gramStart"/>
      <w:r w:rsidRPr="00203426">
        <w:rPr>
          <w:rFonts w:ascii="Times New Roman" w:hAnsi="Times New Roman" w:cs="Times New Roman"/>
          <w:sz w:val="24"/>
          <w:szCs w:val="24"/>
        </w:rPr>
        <w:t>Колумбию, Мексику, Иорданию, Австралию, Камбоджу, Китай, Республику Корея, Филиппины, Германия, Казахстан, Российская Федерация, Италия, Испания и Украина.</w:t>
      </w:r>
      <w:proofErr w:type="gramEnd"/>
      <w:r w:rsidRPr="00203426">
        <w:rPr>
          <w:rFonts w:ascii="Times New Roman" w:hAnsi="Times New Roman" w:cs="Times New Roman"/>
          <w:sz w:val="24"/>
          <w:szCs w:val="24"/>
        </w:rPr>
        <w:t xml:space="preserve"> Доступ к данным можно получить по </w:t>
      </w:r>
      <w:hyperlink r:id="rId9" w:history="1">
        <w:r w:rsidRPr="00203426">
          <w:rPr>
            <w:rStyle w:val="a7"/>
            <w:rFonts w:ascii="Times New Roman" w:hAnsi="Times New Roman" w:cs="Times New Roman"/>
            <w:sz w:val="24"/>
            <w:szCs w:val="24"/>
          </w:rPr>
          <w:t>этой ссылке</w:t>
        </w:r>
      </w:hyperlink>
      <w:r w:rsidRPr="00203426">
        <w:rPr>
          <w:rFonts w:ascii="Times New Roman" w:hAnsi="Times New Roman" w:cs="Times New Roman"/>
          <w:sz w:val="24"/>
          <w:szCs w:val="24"/>
        </w:rPr>
        <w:t>. Предлагаемая методология в настоящее время опирается на этот экспериментальный тест и на основе упрощенной версии вопросников, используемых в этих данных, она будет применять уточненный вариант ко всем государствам-членам МОТ.</w:t>
      </w:r>
    </w:p>
    <w:p w:rsidR="003111F3" w:rsidRPr="00203426" w:rsidRDefault="003111F3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Последние имеющиеся данные по каждой стране будут представляться ежегодно.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:rsidR="00203426" w:rsidRPr="00203426" w:rsidRDefault="00203426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111F3" w:rsidRPr="00203426" w:rsidRDefault="003111F3" w:rsidP="00203426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Предлагаемая методология для МКСТ: октябрь 2018 года</w:t>
      </w:r>
    </w:p>
    <w:p w:rsidR="003111F3" w:rsidRPr="00203426" w:rsidRDefault="003111F3" w:rsidP="00203426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Уточнение вопросника и техническое руководство: октябрь – ноябрь 2018</w:t>
      </w:r>
    </w:p>
    <w:p w:rsidR="003111F3" w:rsidRPr="00203426" w:rsidRDefault="003111F3" w:rsidP="00203426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Итоговое тестирование: в ноябре 2018 г. - февраль 2019 </w:t>
      </w:r>
    </w:p>
    <w:p w:rsidR="003111F3" w:rsidRPr="00203426" w:rsidRDefault="003111F3" w:rsidP="00203426">
      <w:pPr>
        <w:pStyle w:val="a3"/>
        <w:numPr>
          <w:ilvl w:val="0"/>
          <w:numId w:val="5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lastRenderedPageBreak/>
        <w:t>Регулярный прием обследования: по состоянию на начало 2019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Поставщики данных 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111F3" w:rsidRPr="00203426" w:rsidRDefault="003111F3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Национальные органы (министерства или другие государственные учреждения), отвечающие за развитие, занятость и молодежную политику. МОТ будет вести реестр национальных субъектов, которые будут участвовать в процессе мониторинга.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111F3" w:rsidRPr="00203426" w:rsidRDefault="003111F3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МОТ будет отвечать за сбор информации, предоставляемой национальными органами.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111F3" w:rsidRPr="00203426" w:rsidRDefault="00194135" w:rsidP="00203426">
      <w:pPr>
        <w:spacing w:before="100" w:beforeAutospacing="1" w:after="100" w:afterAutospacing="1"/>
        <w:jc w:val="both"/>
        <w:rPr>
          <w:rStyle w:val="a7"/>
          <w:rFonts w:ascii="Times New Roman" w:eastAsia="SimSu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Международная конференция статистиков труда, 20-я сессия. Резолюция III </w:t>
      </w:r>
      <w:hyperlink r:id="rId10" w:history="1">
        <w:r w:rsidRPr="00203426">
          <w:rPr>
            <w:rStyle w:val="a7"/>
            <w:rFonts w:ascii="Times New Roman" w:eastAsia="SimSun" w:hAnsi="Times New Roman" w:cs="Times New Roman"/>
            <w:sz w:val="24"/>
            <w:szCs w:val="24"/>
          </w:rPr>
          <w:t>www.ilo.org/20thicls</w:t>
        </w:r>
      </w:hyperlink>
    </w:p>
    <w:p w:rsidR="00194135" w:rsidRPr="00203426" w:rsidRDefault="0019413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Международная организация труда (МОТ). 2008. Руководство по подготовке национальных планов действий по обеспечению занятости молодежи. (Женева, МОТ)</w:t>
      </w:r>
    </w:p>
    <w:p w:rsidR="00194135" w:rsidRPr="00203426" w:rsidRDefault="0019413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 xml:space="preserve">_. 2012. Руководство по разработке национальной политики </w:t>
      </w:r>
      <w:r w:rsidR="00203426">
        <w:rPr>
          <w:rFonts w:ascii="Times New Roman" w:hAnsi="Times New Roman" w:cs="Times New Roman"/>
          <w:sz w:val="24"/>
          <w:szCs w:val="24"/>
        </w:rPr>
        <w:t>в области занятости. (Женева)</w:t>
      </w:r>
    </w:p>
    <w:p w:rsidR="00194135" w:rsidRPr="00203426" w:rsidRDefault="0019413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_. 2015. Сравнительный анализ политики обеспечения занятости молодежи в Азиатско-Ти</w:t>
      </w:r>
      <w:r w:rsidR="00203426">
        <w:rPr>
          <w:rFonts w:ascii="Times New Roman" w:hAnsi="Times New Roman" w:cs="Times New Roman"/>
          <w:sz w:val="24"/>
          <w:szCs w:val="24"/>
        </w:rPr>
        <w:t>хоокеанском регионе. (Женева)</w:t>
      </w:r>
    </w:p>
    <w:p w:rsidR="00194135" w:rsidRPr="00203426" w:rsidRDefault="0019413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_. 2017. Глобальные тенденции занятости молодежи 2017: пути к лучшему рабочему будущему (Женева)</w:t>
      </w:r>
    </w:p>
    <w:p w:rsidR="00194135" w:rsidRPr="00203426" w:rsidRDefault="00194135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426">
        <w:rPr>
          <w:rFonts w:ascii="Times New Roman" w:hAnsi="Times New Roman" w:cs="Times New Roman"/>
          <w:sz w:val="24"/>
          <w:szCs w:val="24"/>
        </w:rPr>
        <w:t>О'Хиггинс</w:t>
      </w:r>
      <w:proofErr w:type="spellEnd"/>
      <w:r w:rsidRPr="00203426">
        <w:rPr>
          <w:rFonts w:ascii="Times New Roman" w:hAnsi="Times New Roman" w:cs="Times New Roman"/>
          <w:sz w:val="24"/>
          <w:szCs w:val="24"/>
        </w:rPr>
        <w:t>, Н. 2017. Решение проблемы занятости молодежи: новые фактические данные по ключевым вопросам политики (Женева, МОТ).</w:t>
      </w:r>
    </w:p>
    <w:p w:rsidR="000F34CA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0F34CA" w:rsidRPr="002A6775" w:rsidRDefault="000F34CA" w:rsidP="000F34C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Связанные показатели </w:t>
      </w:r>
    </w:p>
    <w:p w:rsidR="000F34CA" w:rsidRPr="002A6775" w:rsidRDefault="000F34CA" w:rsidP="000F34C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94135" w:rsidRPr="00203426" w:rsidRDefault="00203426" w:rsidP="00203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03426">
        <w:rPr>
          <w:rFonts w:ascii="Times New Roman" w:hAnsi="Times New Roman" w:cs="Times New Roman"/>
          <w:sz w:val="24"/>
          <w:szCs w:val="24"/>
        </w:rPr>
        <w:t>Связи с любыми другими целями и задачами: 8.5.2; 8.6.1; 8.7.1</w:t>
      </w:r>
    </w:p>
    <w:sectPr w:rsidR="00194135" w:rsidRPr="0020342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3C" w:rsidRDefault="00461A3C" w:rsidP="00A616E4">
      <w:pPr>
        <w:spacing w:after="0" w:line="240" w:lineRule="auto"/>
      </w:pPr>
      <w:r>
        <w:separator/>
      </w:r>
    </w:p>
  </w:endnote>
  <w:endnote w:type="continuationSeparator" w:id="0">
    <w:p w:rsidR="00461A3C" w:rsidRDefault="00461A3C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683431"/>
      <w:docPartObj>
        <w:docPartGallery w:val="Page Numbers (Bottom of Page)"/>
        <w:docPartUnique/>
      </w:docPartObj>
    </w:sdtPr>
    <w:sdtEndPr/>
    <w:sdtContent>
      <w:p w:rsidR="00E62E6C" w:rsidRDefault="00E62E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CA">
          <w:rPr>
            <w:noProof/>
          </w:rPr>
          <w:t>7</w:t>
        </w:r>
        <w:r>
          <w:fldChar w:fldCharType="end"/>
        </w:r>
      </w:p>
    </w:sdtContent>
  </w:sdt>
  <w:p w:rsidR="00E62E6C" w:rsidRDefault="00E62E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3C" w:rsidRDefault="00461A3C" w:rsidP="00A616E4">
      <w:pPr>
        <w:spacing w:after="0" w:line="240" w:lineRule="auto"/>
      </w:pPr>
      <w:r>
        <w:separator/>
      </w:r>
    </w:p>
  </w:footnote>
  <w:footnote w:type="continuationSeparator" w:id="0">
    <w:p w:rsidR="00461A3C" w:rsidRDefault="00461A3C" w:rsidP="00A616E4">
      <w:pPr>
        <w:spacing w:after="0" w:line="240" w:lineRule="auto"/>
      </w:pPr>
      <w:r>
        <w:continuationSeparator/>
      </w:r>
    </w:p>
  </w:footnote>
  <w:footnote w:id="1">
    <w:p w:rsidR="003111F3" w:rsidRPr="00203426" w:rsidRDefault="003111F3">
      <w:pPr>
        <w:pStyle w:val="a4"/>
        <w:rPr>
          <w:rFonts w:ascii="Times New Roman" w:hAnsi="Times New Roman" w:cs="Times New Roman"/>
        </w:rPr>
      </w:pPr>
      <w:r w:rsidRPr="00203426">
        <w:rPr>
          <w:rStyle w:val="a6"/>
          <w:rFonts w:ascii="Times New Roman" w:hAnsi="Times New Roman" w:cs="Times New Roman"/>
        </w:rPr>
        <w:footnoteRef/>
      </w:r>
      <w:r w:rsidRPr="00203426">
        <w:rPr>
          <w:rFonts w:ascii="Times New Roman" w:hAnsi="Times New Roman" w:cs="Times New Roman"/>
        </w:rPr>
        <w:t xml:space="preserve"> Доступно по ссылке: </w:t>
      </w:r>
      <w:r w:rsidRPr="00203426">
        <w:rPr>
          <w:rFonts w:ascii="Times New Roman" w:hAnsi="Times New Roman" w:cs="Times New Roman"/>
          <w:lang w:val="en-US"/>
        </w:rPr>
        <w:t>https</w:t>
      </w:r>
      <w:r w:rsidRPr="00203426">
        <w:rPr>
          <w:rFonts w:ascii="Times New Roman" w:hAnsi="Times New Roman" w:cs="Times New Roman"/>
        </w:rPr>
        <w:t>://</w:t>
      </w:r>
      <w:r w:rsidRPr="00203426">
        <w:rPr>
          <w:rFonts w:ascii="Times New Roman" w:hAnsi="Times New Roman" w:cs="Times New Roman"/>
          <w:lang w:val="en-US"/>
        </w:rPr>
        <w:t>www</w:t>
      </w:r>
      <w:r w:rsidRPr="00203426">
        <w:rPr>
          <w:rFonts w:ascii="Times New Roman" w:hAnsi="Times New Roman" w:cs="Times New Roman"/>
        </w:rPr>
        <w:t>.</w:t>
      </w:r>
      <w:proofErr w:type="spellStart"/>
      <w:r w:rsidRPr="00203426">
        <w:rPr>
          <w:rFonts w:ascii="Times New Roman" w:hAnsi="Times New Roman" w:cs="Times New Roman"/>
          <w:lang w:val="en-US"/>
        </w:rPr>
        <w:t>ilo</w:t>
      </w:r>
      <w:proofErr w:type="spellEnd"/>
      <w:r w:rsidRPr="00203426">
        <w:rPr>
          <w:rFonts w:ascii="Times New Roman" w:hAnsi="Times New Roman" w:cs="Times New Roman"/>
        </w:rPr>
        <w:t>.</w:t>
      </w:r>
      <w:r w:rsidRPr="00203426">
        <w:rPr>
          <w:rFonts w:ascii="Times New Roman" w:hAnsi="Times New Roman" w:cs="Times New Roman"/>
          <w:lang w:val="en-US"/>
        </w:rPr>
        <w:t>org</w:t>
      </w:r>
      <w:r w:rsidRPr="00203426">
        <w:rPr>
          <w:rFonts w:ascii="Times New Roman" w:hAnsi="Times New Roman" w:cs="Times New Roman"/>
        </w:rPr>
        <w:t>/</w:t>
      </w:r>
      <w:proofErr w:type="spellStart"/>
      <w:r w:rsidRPr="00203426">
        <w:rPr>
          <w:rFonts w:ascii="Times New Roman" w:hAnsi="Times New Roman" w:cs="Times New Roman"/>
          <w:lang w:val="en-US"/>
        </w:rPr>
        <w:t>ilc</w:t>
      </w:r>
      <w:proofErr w:type="spellEnd"/>
      <w:r w:rsidRPr="00203426">
        <w:rPr>
          <w:rFonts w:ascii="Times New Roman" w:hAnsi="Times New Roman" w:cs="Times New Roman"/>
        </w:rPr>
        <w:t>/</w:t>
      </w:r>
      <w:proofErr w:type="spellStart"/>
      <w:r w:rsidRPr="00203426">
        <w:rPr>
          <w:rFonts w:ascii="Times New Roman" w:hAnsi="Times New Roman" w:cs="Times New Roman"/>
          <w:lang w:val="en-US"/>
        </w:rPr>
        <w:t>ILCSessions</w:t>
      </w:r>
      <w:proofErr w:type="spellEnd"/>
      <w:r w:rsidRPr="00203426">
        <w:rPr>
          <w:rFonts w:ascii="Times New Roman" w:hAnsi="Times New Roman" w:cs="Times New Roman"/>
        </w:rPr>
        <w:t>/101</w:t>
      </w:r>
      <w:proofErr w:type="spellStart"/>
      <w:r w:rsidRPr="00203426">
        <w:rPr>
          <w:rFonts w:ascii="Times New Roman" w:hAnsi="Times New Roman" w:cs="Times New Roman"/>
          <w:lang w:val="en-US"/>
        </w:rPr>
        <w:t>stSession</w:t>
      </w:r>
      <w:proofErr w:type="spellEnd"/>
      <w:r w:rsidRPr="00203426">
        <w:rPr>
          <w:rFonts w:ascii="Times New Roman" w:hAnsi="Times New Roman" w:cs="Times New Roman"/>
        </w:rPr>
        <w:t>/</w:t>
      </w:r>
      <w:r w:rsidRPr="00203426">
        <w:rPr>
          <w:rFonts w:ascii="Times New Roman" w:hAnsi="Times New Roman" w:cs="Times New Roman"/>
          <w:lang w:val="en-US"/>
        </w:rPr>
        <w:t>texts</w:t>
      </w:r>
      <w:r w:rsidRPr="00203426">
        <w:rPr>
          <w:rFonts w:ascii="Times New Roman" w:hAnsi="Times New Roman" w:cs="Times New Roman"/>
        </w:rPr>
        <w:t>-</w:t>
      </w:r>
      <w:r w:rsidRPr="00203426">
        <w:rPr>
          <w:rFonts w:ascii="Times New Roman" w:hAnsi="Times New Roman" w:cs="Times New Roman"/>
          <w:lang w:val="en-US"/>
        </w:rPr>
        <w:t>adopted</w:t>
      </w:r>
      <w:r w:rsidRPr="00203426">
        <w:rPr>
          <w:rFonts w:ascii="Times New Roman" w:hAnsi="Times New Roman" w:cs="Times New Roman"/>
        </w:rPr>
        <w:t>/</w:t>
      </w:r>
      <w:r w:rsidRPr="00203426">
        <w:rPr>
          <w:rFonts w:ascii="Times New Roman" w:hAnsi="Times New Roman" w:cs="Times New Roman"/>
          <w:lang w:val="en-US"/>
        </w:rPr>
        <w:t>WCMS</w:t>
      </w:r>
      <w:r w:rsidRPr="00203426">
        <w:rPr>
          <w:rFonts w:ascii="Times New Roman" w:hAnsi="Times New Roman" w:cs="Times New Roman"/>
        </w:rPr>
        <w:t>_185950/</w:t>
      </w:r>
      <w:proofErr w:type="spellStart"/>
      <w:r w:rsidRPr="00203426">
        <w:rPr>
          <w:rFonts w:ascii="Times New Roman" w:hAnsi="Times New Roman" w:cs="Times New Roman"/>
          <w:lang w:val="en-US"/>
        </w:rPr>
        <w:t>lang</w:t>
      </w:r>
      <w:proofErr w:type="spellEnd"/>
      <w:r w:rsidRPr="00203426">
        <w:rPr>
          <w:rFonts w:ascii="Times New Roman" w:hAnsi="Times New Roman" w:cs="Times New Roman"/>
        </w:rPr>
        <w:t>--</w:t>
      </w:r>
      <w:proofErr w:type="spellStart"/>
      <w:r w:rsidRPr="00203426">
        <w:rPr>
          <w:rFonts w:ascii="Times New Roman" w:hAnsi="Times New Roman" w:cs="Times New Roman"/>
          <w:lang w:val="en-US"/>
        </w:rPr>
        <w:t>en</w:t>
      </w:r>
      <w:proofErr w:type="spellEnd"/>
      <w:r w:rsidRPr="00203426">
        <w:rPr>
          <w:rFonts w:ascii="Times New Roman" w:hAnsi="Times New Roman" w:cs="Times New Roman"/>
        </w:rPr>
        <w:t>/</w:t>
      </w:r>
      <w:r w:rsidRPr="00203426">
        <w:rPr>
          <w:rFonts w:ascii="Times New Roman" w:hAnsi="Times New Roman" w:cs="Times New Roman"/>
          <w:lang w:val="en-US"/>
        </w:rPr>
        <w:t>index</w:t>
      </w:r>
      <w:r w:rsidRPr="00203426">
        <w:rPr>
          <w:rFonts w:ascii="Times New Roman" w:hAnsi="Times New Roman" w:cs="Times New Roman"/>
        </w:rPr>
        <w:t>.</w:t>
      </w:r>
      <w:proofErr w:type="spellStart"/>
      <w:r w:rsidRPr="00203426">
        <w:rPr>
          <w:rFonts w:ascii="Times New Roman" w:hAnsi="Times New Roman" w:cs="Times New Roman"/>
          <w:lang w:val="en-US"/>
        </w:rPr>
        <w:t>htm</w:t>
      </w:r>
      <w:proofErr w:type="spellEnd"/>
    </w:p>
  </w:footnote>
  <w:footnote w:id="2">
    <w:p w:rsidR="003111F3" w:rsidRDefault="003111F3">
      <w:pPr>
        <w:pStyle w:val="a4"/>
      </w:pPr>
      <w:r w:rsidRPr="00203426">
        <w:rPr>
          <w:rStyle w:val="a6"/>
          <w:rFonts w:ascii="Times New Roman" w:hAnsi="Times New Roman" w:cs="Times New Roman"/>
        </w:rPr>
        <w:footnoteRef/>
      </w:r>
      <w:r w:rsidRPr="00203426">
        <w:rPr>
          <w:rFonts w:ascii="Times New Roman" w:hAnsi="Times New Roman" w:cs="Times New Roman"/>
        </w:rPr>
        <w:t xml:space="preserve"> https://www.ilo.org/ilc/ILCSessions/98thSession/texts/WCMS_115076/lang--en/index.htm</w:t>
      </w:r>
    </w:p>
  </w:footnote>
  <w:footnote w:id="3">
    <w:p w:rsidR="003111F3" w:rsidRPr="00203426" w:rsidRDefault="003111F3" w:rsidP="00CD4D15">
      <w:pPr>
        <w:pStyle w:val="a4"/>
        <w:rPr>
          <w:rFonts w:ascii="Times New Roman" w:hAnsi="Times New Roman" w:cs="Times New Roman"/>
          <w:u w:val="single"/>
        </w:rPr>
      </w:pPr>
      <w:r w:rsidRPr="00203426">
        <w:rPr>
          <w:rStyle w:val="a6"/>
          <w:rFonts w:ascii="Times New Roman" w:hAnsi="Times New Roman" w:cs="Times New Roman"/>
        </w:rPr>
        <w:footnoteRef/>
      </w:r>
      <w:r w:rsidRPr="00203426">
        <w:rPr>
          <w:rFonts w:ascii="Times New Roman" w:hAnsi="Times New Roman" w:cs="Times New Roman"/>
        </w:rPr>
        <w:t xml:space="preserve"> </w:t>
      </w:r>
      <w:hyperlink r:id="rId1" w:history="1">
        <w:r w:rsidRPr="00203426">
          <w:rPr>
            <w:rStyle w:val="a7"/>
            <w:rFonts w:ascii="Times New Roman" w:hAnsi="Times New Roman" w:cs="Times New Roman"/>
            <w:bCs/>
            <w:shd w:val="clear" w:color="auto" w:fill="FFFFFF"/>
          </w:rPr>
          <w:t>http://www.ilo.org/dyn/youthpol/en/f?p=30850:1001:0::NO</w:t>
        </w:r>
      </w:hyperlink>
      <w:r w:rsidRPr="00203426">
        <w:rPr>
          <w:rFonts w:ascii="Times New Roman" w:hAnsi="Times New Roman" w:cs="Times New Roman"/>
          <w:bCs/>
          <w:u w:val="single"/>
          <w:shd w:val="clear" w:color="auto" w:fill="FFFFFF"/>
        </w:rPr>
        <w:t>:::</w:t>
      </w:r>
    </w:p>
    <w:p w:rsidR="003111F3" w:rsidRDefault="003111F3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73" w:rsidRPr="00571A73" w:rsidRDefault="00571A73" w:rsidP="00571A73">
    <w:pPr>
      <w:pStyle w:val="a8"/>
      <w:jc w:val="right"/>
      <w:rPr>
        <w:rFonts w:ascii="Times New Roman" w:hAnsi="Times New Roman" w:cs="Times New Roman"/>
        <w:i/>
        <w:sz w:val="24"/>
        <w:szCs w:val="24"/>
      </w:rPr>
    </w:pPr>
    <w:r w:rsidRPr="00571A73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C1C"/>
    <w:multiLevelType w:val="hybridMultilevel"/>
    <w:tmpl w:val="901E48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1317"/>
    <w:multiLevelType w:val="hybridMultilevel"/>
    <w:tmpl w:val="26808954"/>
    <w:lvl w:ilvl="0" w:tplc="814CA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6BA1"/>
    <w:multiLevelType w:val="hybridMultilevel"/>
    <w:tmpl w:val="BF62B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91558"/>
    <w:multiLevelType w:val="hybridMultilevel"/>
    <w:tmpl w:val="246E01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C7F"/>
    <w:multiLevelType w:val="hybridMultilevel"/>
    <w:tmpl w:val="C192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4056"/>
    <w:multiLevelType w:val="hybridMultilevel"/>
    <w:tmpl w:val="C5689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01895"/>
    <w:multiLevelType w:val="hybridMultilevel"/>
    <w:tmpl w:val="712C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48"/>
    <w:rsid w:val="000532AF"/>
    <w:rsid w:val="000F34CA"/>
    <w:rsid w:val="00194135"/>
    <w:rsid w:val="00203426"/>
    <w:rsid w:val="002A7681"/>
    <w:rsid w:val="003111F3"/>
    <w:rsid w:val="00461A3C"/>
    <w:rsid w:val="00497ABA"/>
    <w:rsid w:val="00571A73"/>
    <w:rsid w:val="00813645"/>
    <w:rsid w:val="009E44BB"/>
    <w:rsid w:val="00A44895"/>
    <w:rsid w:val="00A616E4"/>
    <w:rsid w:val="00BB45D3"/>
    <w:rsid w:val="00BD2110"/>
    <w:rsid w:val="00CD4D15"/>
    <w:rsid w:val="00DD2B63"/>
    <w:rsid w:val="00DF5F1E"/>
    <w:rsid w:val="00E62E6C"/>
    <w:rsid w:val="00E77643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16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16E4"/>
    <w:rPr>
      <w:vertAlign w:val="superscript"/>
    </w:rPr>
  </w:style>
  <w:style w:type="character" w:styleId="a7">
    <w:name w:val="Hyperlink"/>
    <w:basedOn w:val="a0"/>
    <w:uiPriority w:val="99"/>
    <w:unhideWhenUsed/>
    <w:rsid w:val="00CD4D1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A73"/>
  </w:style>
  <w:style w:type="paragraph" w:styleId="aa">
    <w:name w:val="footer"/>
    <w:basedOn w:val="a"/>
    <w:link w:val="ab"/>
    <w:uiPriority w:val="99"/>
    <w:unhideWhenUsed/>
    <w:rsid w:val="005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16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16E4"/>
    <w:rPr>
      <w:vertAlign w:val="superscript"/>
    </w:rPr>
  </w:style>
  <w:style w:type="character" w:styleId="a7">
    <w:name w:val="Hyperlink"/>
    <w:basedOn w:val="a0"/>
    <w:uiPriority w:val="99"/>
    <w:unhideWhenUsed/>
    <w:rsid w:val="00CD4D1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A73"/>
  </w:style>
  <w:style w:type="paragraph" w:styleId="aa">
    <w:name w:val="footer"/>
    <w:basedOn w:val="a"/>
    <w:link w:val="ab"/>
    <w:uiPriority w:val="99"/>
    <w:unhideWhenUsed/>
    <w:rsid w:val="005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lo.org/20thic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lo.org/dyn/youthpol/en/f?p=30850:1001:0::NO:::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o.org/dyn/youthpol/en/f?p=30850:1001:0::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EA9E-728A-46D9-A59A-2105D3D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Ксения Сергеевна</dc:creator>
  <cp:lastModifiedBy>Агзамова Вероника Радиковна</cp:lastModifiedBy>
  <cp:revision>9</cp:revision>
  <cp:lastPrinted>2019-03-05T14:13:00Z</cp:lastPrinted>
  <dcterms:created xsi:type="dcterms:W3CDTF">2018-11-16T11:41:00Z</dcterms:created>
  <dcterms:modified xsi:type="dcterms:W3CDTF">2019-04-16T12:51:00Z</dcterms:modified>
</cp:coreProperties>
</file>