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65D60"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4D2413">
        <w:rPr>
          <w:rFonts w:eastAsia="Arial Unicode MS" w:cs="Times New Roman"/>
          <w:szCs w:val="24"/>
          <w:bdr w:val="nil"/>
          <w:lang w:eastAsia="ru-RU"/>
        </w:rPr>
        <w:t>1</w:t>
      </w:r>
      <w:r w:rsidR="00107A08">
        <w:rPr>
          <w:rFonts w:eastAsia="Arial Unicode MS" w:cs="Times New Roman"/>
          <w:szCs w:val="24"/>
          <w:bdr w:val="nil"/>
          <w:lang w:eastAsia="ru-RU"/>
        </w:rPr>
        <w:t>6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107A08">
        <w:t>Содействие построению миролюбивого и открытого общества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E559F9" w:rsidP="00865D60">
      <w:pPr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107A08">
        <w:rPr>
          <w:rFonts w:cs="Times New Roman"/>
          <w:szCs w:val="24"/>
        </w:rPr>
        <w:t>6</w:t>
      </w:r>
      <w:r w:rsidR="00780F08" w:rsidRPr="00BD29EC">
        <w:rPr>
          <w:rFonts w:cs="Times New Roman"/>
          <w:szCs w:val="24"/>
        </w:rPr>
        <w:t>.</w:t>
      </w:r>
      <w:r w:rsidR="005016B8">
        <w:rPr>
          <w:rFonts w:cs="Times New Roman"/>
          <w:szCs w:val="24"/>
        </w:rPr>
        <w:t>5</w:t>
      </w:r>
      <w:r w:rsidR="00780F08" w:rsidRPr="00BD29EC">
        <w:rPr>
          <w:rFonts w:cs="Times New Roman"/>
          <w:szCs w:val="24"/>
        </w:rPr>
        <w:t xml:space="preserve">. </w:t>
      </w:r>
      <w:r w:rsidR="00A22947">
        <w:t>Значительно сократить масштабы коррупции и взяточничества во всех их формах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A22947" w:rsidRDefault="003143BC" w:rsidP="00865D60">
      <w:r w:rsidRPr="00BD29EC">
        <w:t xml:space="preserve">Показатель </w:t>
      </w:r>
      <w:r w:rsidR="00741A39">
        <w:t>1</w:t>
      </w:r>
      <w:r w:rsidR="00107A08">
        <w:t>6</w:t>
      </w:r>
      <w:r w:rsidR="00780F08" w:rsidRPr="00BD29EC">
        <w:t>.</w:t>
      </w:r>
      <w:r w:rsidR="005016B8">
        <w:t>5</w:t>
      </w:r>
      <w:r w:rsidR="002064C4">
        <w:t>.</w:t>
      </w:r>
      <w:r w:rsidR="00504837">
        <w:t>1</w:t>
      </w:r>
      <w:r w:rsidR="00C95AB2">
        <w:t>.</w:t>
      </w:r>
      <w:r w:rsidR="00780F08" w:rsidRPr="00BD29EC">
        <w:t xml:space="preserve"> </w:t>
      </w:r>
      <w:proofErr w:type="gramStart"/>
      <w:r w:rsidR="00A22947" w:rsidRPr="00A22947">
        <w:t>Доля лиц, которые в предыдущие 12 месяцев хотя бы один раз имели контакт с государственным должностным лицом и которые заплатили взятку государственному должностному лицу или от которых это государственное должностное лицо требовало взятку</w:t>
      </w:r>
      <w:r w:rsidR="00A22947">
        <w:t>.</w:t>
      </w:r>
      <w:proofErr w:type="gramEnd"/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3A325C" w:rsidRDefault="003A325C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</w:p>
    <w:p w:rsid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8D03E4" w:rsidRPr="008D03E4" w:rsidRDefault="008D03E4" w:rsidP="008D03E4">
      <w:r>
        <w:t>2016-07-19</w:t>
      </w:r>
    </w:p>
    <w:p w:rsidR="008D03E4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</w:p>
    <w:p w:rsidR="00C8596F" w:rsidRPr="008D03E4" w:rsidRDefault="008D03E4" w:rsidP="008D03E4">
      <w:r w:rsidRPr="00D34340">
        <w:t>16.3</w:t>
      </w:r>
    </w:p>
    <w:p w:rsidR="00A91FDE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8D03E4" w:rsidRDefault="008D03E4" w:rsidP="008D03E4">
      <w:pPr>
        <w:rPr>
          <w:bdr w:val="nil"/>
          <w:lang w:eastAsia="ru-RU"/>
        </w:rPr>
      </w:pPr>
      <w:r w:rsidRPr="008D03E4">
        <w:rPr>
          <w:bdr w:val="nil"/>
          <w:lang w:eastAsia="ru-RU"/>
        </w:rPr>
        <w:t>Управление Организации Объединенных Наций по наркотикам и преступности (УНП ООН)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8D03E4" w:rsidRPr="008D03E4" w:rsidRDefault="008D03E4" w:rsidP="008D03E4">
      <w:pPr>
        <w:rPr>
          <w:bdr w:val="nil"/>
          <w:lang w:eastAsia="ru-RU"/>
        </w:rPr>
      </w:pPr>
      <w:r w:rsidRPr="008D03E4">
        <w:rPr>
          <w:bdr w:val="nil"/>
          <w:lang w:eastAsia="ru-RU"/>
        </w:rPr>
        <w:t>Управление Организации Объединенных Наций по наркотикам и преступности (УНП ООН)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3E7450" w:rsidRPr="00BC2097" w:rsidRDefault="003E7450" w:rsidP="003E7450">
      <w:proofErr w:type="gramStart"/>
      <w:r>
        <w:t>П</w:t>
      </w:r>
      <w:r w:rsidRPr="00BC2097">
        <w:t>оказатель определяется как процент лиц, которые заплатили хотя бы одну взятку (предоставили публичные официальные деньги, подарок или счетную услугу) государственному должностному лицу</w:t>
      </w:r>
      <w:r>
        <w:t xml:space="preserve"> или попросили дать взятку этим государственным должностным лицам</w:t>
      </w:r>
      <w:r w:rsidRPr="00BC2097">
        <w:t xml:space="preserve"> за последние 12 месяцев, как процент лиц, имеющих хотя бы один контакт с государственным должностным лицом за тот же период.</w:t>
      </w:r>
      <w:proofErr w:type="gramEnd"/>
    </w:p>
    <w:p w:rsidR="003E7450" w:rsidRDefault="003E7450" w:rsidP="00DA19D7">
      <w:pPr>
        <w:pStyle w:val="MText"/>
        <w:rPr>
          <w:color w:val="000000" w:themeColor="text1"/>
          <w:sz w:val="24"/>
          <w:szCs w:val="24"/>
          <w:lang w:val="ru-RU"/>
        </w:rPr>
      </w:pPr>
    </w:p>
    <w:p w:rsidR="00DA19D7" w:rsidRDefault="003859BD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lastRenderedPageBreak/>
        <w:t>Основные понятия</w:t>
      </w:r>
    </w:p>
    <w:p w:rsidR="003E7450" w:rsidRDefault="003E7450" w:rsidP="003E7450">
      <w:r w:rsidRPr="003E7450">
        <w:t>В Международной классификации преступлений для статистических целей (МКПС) взяточничество определяе</w:t>
      </w:r>
      <w:r>
        <w:t>тся как: «О</w:t>
      </w:r>
      <w:r w:rsidRPr="003E7450">
        <w:t xml:space="preserve">бещание, предложение, предоставление, вымогательство или получение неправомерного преимущества от государственного должностного лица или лица, которое руководит или работает </w:t>
      </w:r>
      <w:r w:rsidR="005E2D9C">
        <w:t>в организации частного сектора,</w:t>
      </w:r>
      <w:r w:rsidRPr="003E7450">
        <w:t xml:space="preserve"> прямо или косвенно, с </w:t>
      </w:r>
      <w:proofErr w:type="gramStart"/>
      <w:r w:rsidRPr="003E7450">
        <w:t>тем</w:t>
      </w:r>
      <w:proofErr w:type="gramEnd"/>
      <w:r w:rsidRPr="003E7450">
        <w:t xml:space="preserve"> чтобы лицо действовало или воздерживалось от действий при исполнении своих служебных обязанностей». Это определение основано на определениях подкупа национальных публичных должностных лиц, подкупа иностранных публичных должностных лиц и должностных лиц международных организаций и подкупа в частном секторе, содержащихся в Конвенции Организации Объединенных Наций против коррупции (статьи 15, 16 и 21).</w:t>
      </w:r>
    </w:p>
    <w:p w:rsidR="005E2D9C" w:rsidRPr="005E2D9C" w:rsidRDefault="005E2D9C" w:rsidP="005E2D9C">
      <w:pPr>
        <w:rPr>
          <w:color w:val="000000" w:themeColor="text1"/>
          <w:szCs w:val="24"/>
        </w:rPr>
      </w:pPr>
      <w:r w:rsidRPr="005E2D9C">
        <w:rPr>
          <w:color w:val="000000" w:themeColor="text1"/>
          <w:szCs w:val="24"/>
        </w:rPr>
        <w:t>Хотя понятие взяточничества шире, поскольку оно включает также такие действия, как обещание или предложение, и охватывает как государственный, так и частный сектор, этот показатель фокусируется на конкретных формах взяточничества, которые более поддаются измерению (дача и/или просьба о взятках), и он ограничивает сферу применения государственным сектором.</w:t>
      </w:r>
    </w:p>
    <w:p w:rsidR="005E2D9C" w:rsidRPr="005E2D9C" w:rsidRDefault="005E2D9C" w:rsidP="005E2D9C">
      <w:pPr>
        <w:rPr>
          <w:color w:val="000000" w:themeColor="text1"/>
          <w:szCs w:val="24"/>
        </w:rPr>
      </w:pPr>
      <w:r w:rsidRPr="005E2D9C">
        <w:rPr>
          <w:color w:val="000000" w:themeColor="text1"/>
          <w:szCs w:val="24"/>
        </w:rPr>
        <w:t>Концепция неправомерного преимущества реализуется посредством ссылки на предоставление денег, подарков или предоставление услуги, запрошенной/предложенной государственным должностным лицом в обмен на особое отношение.</w:t>
      </w:r>
    </w:p>
    <w:p w:rsidR="005E2D9C" w:rsidRPr="005E2D9C" w:rsidRDefault="005E2D9C" w:rsidP="005E2D9C">
      <w:pPr>
        <w:rPr>
          <w:color w:val="000000" w:themeColor="text1"/>
          <w:szCs w:val="24"/>
        </w:rPr>
      </w:pPr>
      <w:r w:rsidRPr="005E2D9C">
        <w:rPr>
          <w:color w:val="000000" w:themeColor="text1"/>
          <w:szCs w:val="24"/>
        </w:rPr>
        <w:t>Этот показатель отражает часто называемый "административный подкуп", который подразумевается как вид подкупа, затрагивающий граждан в их отношениях с государственными администрациями и/или государственными служащими.</w:t>
      </w:r>
    </w:p>
    <w:p w:rsidR="005E2D9C" w:rsidRPr="003E7450" w:rsidRDefault="005E2D9C" w:rsidP="005E2D9C">
      <w:pPr>
        <w:rPr>
          <w:color w:val="000000" w:themeColor="text1"/>
          <w:szCs w:val="24"/>
        </w:rPr>
      </w:pPr>
      <w:r w:rsidRPr="005E2D9C">
        <w:rPr>
          <w:color w:val="000000" w:themeColor="text1"/>
          <w:szCs w:val="24"/>
        </w:rPr>
        <w:t>По этому показателю под государственным должностным лицом понимаются лица, занимающие законодательную, исполнительную, административную или судебную должность. При введении показателя в действие используется список выборных должностных лиц и гражданских служащих.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407E4E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Text"/>
        <w:rPr>
          <w:color w:val="auto"/>
          <w:sz w:val="24"/>
          <w:szCs w:val="24"/>
          <w:lang w:val="ru-RU"/>
        </w:rPr>
      </w:pP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4B252B" w:rsidRPr="004B252B" w:rsidRDefault="004B252B" w:rsidP="004B252B">
      <w:r w:rsidRPr="004B252B">
        <w:t xml:space="preserve">Этот показатель получен на основе обследований домохозяйств на предмет опыта коррупции и/или обследований </w:t>
      </w:r>
      <w:proofErr w:type="spellStart"/>
      <w:r w:rsidRPr="004B252B">
        <w:t>виктимизации</w:t>
      </w:r>
      <w:proofErr w:type="spellEnd"/>
      <w:r w:rsidRPr="004B252B">
        <w:t xml:space="preserve"> с модулем по взяточничеству.</w:t>
      </w:r>
    </w:p>
    <w:p w:rsidR="004B252B" w:rsidRPr="004B252B" w:rsidRDefault="004B252B" w:rsidP="004B252B">
      <w:r w:rsidRPr="004B252B">
        <w:t>Показатель относится к индивидуальному опыту респондента, который выбирается случайным образом среди членов домохозяйства, при этом опыт взяточничества со стороны других членов не учитывается. Опыт взяточничества собирается с помощью серии вопросов о конкретных контактах и опыте взяточничества со списком государственных должностных лиц и государственных служащих.</w:t>
      </w:r>
    </w:p>
    <w:p w:rsidR="004B252B" w:rsidRPr="004B252B" w:rsidRDefault="004B252B" w:rsidP="004B252B">
      <w:r w:rsidRPr="004B252B">
        <w:lastRenderedPageBreak/>
        <w:t>Знаменатель относится только к тем лицам, которые имели хотя бы один прямой контакт с государственным должностным лицом/государственным служащим, поскольку они составляют группу населения, подверженную риску взяточничества.</w:t>
      </w:r>
    </w:p>
    <w:p w:rsidR="004B252B" w:rsidRDefault="004B252B" w:rsidP="004B252B">
      <w:r w:rsidRPr="004B252B">
        <w:t xml:space="preserve">УНП ООН собирает данные о распространенности взяточничества посредством ежегодного сбора данных (UN-CTS). Сбору данных через UN-CTS способствует сеть </w:t>
      </w:r>
      <w:proofErr w:type="gramStart"/>
      <w:r w:rsidRPr="004B252B">
        <w:t>из</w:t>
      </w:r>
      <w:proofErr w:type="gramEnd"/>
      <w:r w:rsidRPr="004B252B">
        <w:t xml:space="preserve"> более </w:t>
      </w:r>
      <w:proofErr w:type="gramStart"/>
      <w:r w:rsidRPr="004B252B">
        <w:t>чем</w:t>
      </w:r>
      <w:proofErr w:type="gramEnd"/>
      <w:r w:rsidRPr="004B252B">
        <w:t xml:space="preserve"> 130 национальных координаторов, назначаемых ответственными органами.</w:t>
      </w:r>
    </w:p>
    <w:p w:rsidR="000A229E" w:rsidRDefault="000A229E" w:rsidP="004B252B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815C07" w:rsidRPr="00815C07" w:rsidRDefault="00815C07" w:rsidP="00815C07">
      <w:r w:rsidRPr="00815C07">
        <w:t>На международном уровне данные собираются УНП ООН посредством ежегодного сбора данных UN-CTS. Данные по показателю взяточничества отправляются в УНП ООН государствами-членами, как правило, через национальных координаторов UN-CTS (около 130 назначенных координаторов по состоянию на 2016 год), которые в большинстве случаев являются национальными учреждениями, ответственными за сбор данных в области преступности и уголовного правосудия. (Национальные статистические управления, Министерство внутренних дел, Министерство юстиции и т.д.). При необходимости используются другие источники данных, в том числе с сайтов, публикаций, других форм коммуникации.</w:t>
      </w:r>
    </w:p>
    <w:p w:rsidR="00815C07" w:rsidRPr="00BD29EC" w:rsidRDefault="00815C07" w:rsidP="00815C07">
      <w:r w:rsidRPr="00815C07">
        <w:t>Данные для мониторинга ЦУР будут отправлены в страны для консультаций перед публикацией.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1E76DC" w:rsidRPr="00BD29EC" w:rsidRDefault="001E76DC" w:rsidP="001E76DC">
      <w:r w:rsidRPr="001E76DC">
        <w:t>III-IV квартал 2016 г.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1E76DC" w:rsidRPr="00BD29EC" w:rsidRDefault="001E76DC" w:rsidP="001E76DC">
      <w:r w:rsidRPr="001E76DC">
        <w:t>II квартал 2017 г.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1E76DC" w:rsidRPr="00A71EC6" w:rsidRDefault="001E76DC" w:rsidP="001E76DC">
      <w:r w:rsidRPr="001E76DC">
        <w:t>Данные о взяточничестве направляются в УНП ООН государствами-членами, как правило, через национальных координаторов UN-CTS, которые в большинстве случаев являются национальными учреждениями, ответственными за сбор данных в области преступности и уголовного правосудия (национальные статистические управления, Министерство внутренних дел, Министерство юстиции</w:t>
      </w:r>
      <w:r w:rsidR="00D70386">
        <w:t xml:space="preserve"> и </w:t>
      </w:r>
      <w:proofErr w:type="spellStart"/>
      <w:r w:rsidR="00D70386">
        <w:t>тд</w:t>
      </w:r>
      <w:proofErr w:type="spellEnd"/>
      <w:r w:rsidRPr="001E76DC">
        <w:t xml:space="preserve">.). Основным источником данных по показателю опыта взяточничества обычно является учреждение, ответственное за проведение обследований по вопросам коррупции/обследований </w:t>
      </w:r>
      <w:proofErr w:type="spellStart"/>
      <w:r w:rsidRPr="001E76DC">
        <w:t>виктимизации</w:t>
      </w:r>
      <w:proofErr w:type="spellEnd"/>
      <w:r w:rsidRPr="001E76DC">
        <w:t xml:space="preserve"> (Национальное статистическое управление, Агентство по борьбе с коррупцией и т. д.).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1458DC" w:rsidRPr="001458DC" w:rsidRDefault="001458DC" w:rsidP="001458DC">
      <w:r>
        <w:t>Наименование</w:t>
      </w:r>
      <w:r w:rsidRPr="001458DC">
        <w:t>:</w:t>
      </w:r>
    </w:p>
    <w:p w:rsidR="001458DC" w:rsidRPr="001458DC" w:rsidRDefault="001458DC" w:rsidP="001458DC">
      <w:r w:rsidRPr="001458DC">
        <w:t>УНП ООН</w:t>
      </w:r>
    </w:p>
    <w:p w:rsidR="001458DC" w:rsidRPr="001458DC" w:rsidRDefault="001458DC" w:rsidP="001458DC">
      <w:r w:rsidRPr="001458DC">
        <w:t>Описание:</w:t>
      </w:r>
    </w:p>
    <w:p w:rsidR="001458DC" w:rsidRPr="00BD29EC" w:rsidRDefault="001458DC" w:rsidP="001458DC">
      <w:r w:rsidRPr="001458DC">
        <w:lastRenderedPageBreak/>
        <w:t>УНП ООН в рамках ежегодного Обзора тенденций в области преступности ООН (UN-CTS)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980F7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b/>
          <w:szCs w:val="24"/>
        </w:rPr>
      </w:pP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E15F9" w:rsidRPr="00BD29EC" w:rsidRDefault="00F152AB" w:rsidP="00F152AB">
      <w:r w:rsidRPr="00F152AB">
        <w:t>Коррупция является антонимом равной доступности государственных услуг и правильного функционирования экономики; как таковая, она оказывает негативное влияние на справедливое распределение ресурсов и возможностей развития. Кроме того, коррупция подрывает доверие населения к властям и верховенству закона; когда административное взяточничество становится повторяющимся опытом широких слоев населения и бизнеса, его негативные последствия оказывают устойчивое негативное влияние на верховенство закона, демократические процессы и правосудие. Обеспечивая прямую оценку опыта взяточничества, этот показатель обеспечивает объективную метрику коррупции, критерий для мониторинга прогресса в борьбе с коррупцией.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F152AB" w:rsidRPr="00F152AB" w:rsidRDefault="00F152AB" w:rsidP="00F152AB">
      <w:proofErr w:type="gramStart"/>
      <w:r w:rsidRPr="00F152AB">
        <w:t>По опыту нескольких исследований, проведенных на национальном и международном уровне, так называемый коэффициент распространенности взяточничества определяется как процент лиц, которые дали хотя бы одну взятку (дали государственному должностному лицу деньги, подарок или встречную услугу) гос</w:t>
      </w:r>
      <w:r w:rsidR="00EC401A">
        <w:t>ударственному должностному лицу</w:t>
      </w:r>
      <w:r w:rsidRPr="00F152AB">
        <w:t xml:space="preserve"> за последние 12 месяцев в процентах от лиц, имевших хотя бы один контакт с публичным должностным лицом за тот же период.</w:t>
      </w:r>
      <w:proofErr w:type="gramEnd"/>
      <w:r w:rsidRPr="00F152AB">
        <w:t xml:space="preserve"> В эту формулировку не включена доля населения, у которого взятку просили, но </w:t>
      </w:r>
      <w:r w:rsidR="00EC401A">
        <w:t xml:space="preserve">они ее </w:t>
      </w:r>
      <w:r w:rsidRPr="00F152AB">
        <w:t>не дали. Имеющиеся данные на национальном и международном уровне обычно относятся к этой формулировке, в то время как сбор данных в соответствии с формулировкой, включенной в структуру ЦУР, будет зависеть от адаптации соответствующих инструментов обследования и расчетов, проводимых национальными органами. Ожидается, что данные в соответствии с текущим определением будут предоставляться постепенно.</w:t>
      </w:r>
    </w:p>
    <w:p w:rsidR="00F152AB" w:rsidRPr="00BD29EC" w:rsidRDefault="00F152AB" w:rsidP="00F152AB">
      <w:r w:rsidRPr="00F152AB">
        <w:t>На более общем уровне следует отметить, что этот показатель дает достоверную информацию об опыте взяточничества, имеющего место во взаимодействии между гражданами и государственным сектором в контексте предоставления услуг/операций, но не охватывает другие формы коррупции, такие как «крупная коррупция», торговля влиянием или злоупотребление властью</w:t>
      </w:r>
      <w:r w:rsidR="00EC401A">
        <w:t xml:space="preserve">. 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0522C4" w:rsidRDefault="000522C4" w:rsidP="000522C4">
      <w:proofErr w:type="gramStart"/>
      <w:r w:rsidRPr="000522C4">
        <w:t>Показатель рассчитывается как общее количество лиц, давших хотя бы одну взятку государственному должностному лицу за последние 12 месяцев или получивших взятку за тот же период, к общему числу лиц, имевших хотя бы один контакт с государственного должностного лица за тот же период, умноженное на 100.</w:t>
      </w:r>
      <w:proofErr w:type="gramEnd"/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2E15F9" w:rsidRPr="000522C4" w:rsidRDefault="000522C4" w:rsidP="0075371E">
      <w:pPr>
        <w:pStyle w:val="MText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r w:rsidRPr="000522C4">
        <w:rPr>
          <w:rFonts w:eastAsiaTheme="minorHAnsi" w:cstheme="minorBidi"/>
          <w:color w:val="auto"/>
          <w:sz w:val="24"/>
          <w:szCs w:val="22"/>
          <w:lang w:val="ru-RU" w:eastAsia="en-US"/>
        </w:rPr>
        <w:t>Пропущенные значения не вменяются.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694160" w:rsidRPr="00BD29EC" w:rsidRDefault="000522C4" w:rsidP="000522C4">
      <w:r w:rsidRPr="000522C4">
        <w:t>Пропущенные значения не вменяются. Глобальные и региональные оценки будут подготов</w:t>
      </w:r>
      <w:r>
        <w:t>лены, когда доступность данных повысится</w:t>
      </w:r>
      <w:r w:rsidRPr="000522C4">
        <w:t>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9E5F12" w:rsidP="009E5F12">
      <w:r w:rsidRPr="009E5F12">
        <w:t>Глобальные и региональные оценки будут подготовлены, когда доступность данных улучшится.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Pr="00040034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2E15F9" w:rsidRPr="00BD29EC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9E5F12">
      <w:r w:rsidRPr="00BD29EC">
        <w:t>Доступность данных:</w:t>
      </w:r>
    </w:p>
    <w:p w:rsidR="009E5F12" w:rsidRPr="009E5F12" w:rsidRDefault="009E5F12" w:rsidP="009E5F12">
      <w:r w:rsidRPr="009E5F12">
        <w:t>Страны, в которых после 2010 г. имеется как минимум 1 точка данных для показателя распространенности взяточничества (см. пункт 7.1):</w:t>
      </w:r>
    </w:p>
    <w:p w:rsidR="009E5F12" w:rsidRPr="009E5F12" w:rsidRDefault="009E5F12" w:rsidP="009E5F12">
      <w:r w:rsidRPr="009E5F12">
        <w:t>Азия и Тихий океан: 2</w:t>
      </w:r>
    </w:p>
    <w:p w:rsidR="009E5F12" w:rsidRPr="009E5F12" w:rsidRDefault="009E5F12" w:rsidP="009E5F12">
      <w:r w:rsidRPr="009E5F12">
        <w:t>Африка: 8</w:t>
      </w:r>
    </w:p>
    <w:p w:rsidR="009E5F12" w:rsidRPr="009E5F12" w:rsidRDefault="009E5F12" w:rsidP="009E5F12">
      <w:r w:rsidRPr="009E5F12">
        <w:t>Латинская Америка и Карибский бассейн: 2</w:t>
      </w:r>
    </w:p>
    <w:p w:rsidR="009E5F12" w:rsidRPr="009E5F12" w:rsidRDefault="009E5F12" w:rsidP="009E5F12">
      <w:r w:rsidRPr="009E5F12">
        <w:t>Европа, Северная Америка, Австра</w:t>
      </w:r>
      <w:r>
        <w:t>лия, Новая Зеландия и Япония: 9</w:t>
      </w:r>
    </w:p>
    <w:p w:rsidR="009E5F12" w:rsidRPr="009E5F12" w:rsidRDefault="009E5F12" w:rsidP="009E5F12">
      <w:r w:rsidRPr="009E5F12">
        <w:t>Страны имеют как минимум 1 точку данных для этого показателя в период с 2000 по 2009 год:</w:t>
      </w:r>
    </w:p>
    <w:p w:rsidR="009E5F12" w:rsidRPr="009E5F12" w:rsidRDefault="009E5F12" w:rsidP="009E5F12">
      <w:r w:rsidRPr="009E5F12">
        <w:t>Азия и Тихий океан: 0</w:t>
      </w:r>
    </w:p>
    <w:p w:rsidR="009E5F12" w:rsidRPr="009E5F12" w:rsidRDefault="009E5F12" w:rsidP="009E5F12">
      <w:r w:rsidRPr="009E5F12">
        <w:t>Африка: 0</w:t>
      </w:r>
    </w:p>
    <w:p w:rsidR="009E5F12" w:rsidRPr="009E5F12" w:rsidRDefault="009E5F12" w:rsidP="009E5F12">
      <w:r w:rsidRPr="009E5F12">
        <w:t>Латинская Америка и Карибский бассейн: 4</w:t>
      </w:r>
    </w:p>
    <w:p w:rsidR="009E5F12" w:rsidRPr="00BD29EC" w:rsidRDefault="009E5F12" w:rsidP="009E5F12">
      <w:r w:rsidRPr="009E5F12">
        <w:t>Европа, Северная Америка, Австралия, Новая Зеландия и Япония: 2 дюйма</w:t>
      </w:r>
    </w:p>
    <w:p w:rsidR="0075371E" w:rsidRPr="00BD29EC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Временные ряды:</w:t>
      </w:r>
    </w:p>
    <w:p w:rsidR="0075371E" w:rsidRDefault="0075371E" w:rsidP="009E5F12">
      <w:r w:rsidRPr="00BD29EC">
        <w:t>Разбивка:</w:t>
      </w:r>
    </w:p>
    <w:p w:rsidR="009E5F12" w:rsidRPr="009E5F12" w:rsidRDefault="009E5F12" w:rsidP="009E5F12">
      <w:proofErr w:type="gramStart"/>
      <w:r w:rsidRPr="009E5F12">
        <w:t>Рекомендуемая</w:t>
      </w:r>
      <w:proofErr w:type="gramEnd"/>
      <w:r w:rsidRPr="009E5F12">
        <w:t xml:space="preserve"> </w:t>
      </w:r>
      <w:proofErr w:type="spellStart"/>
      <w:r w:rsidRPr="009E5F12">
        <w:t>дезагрегация</w:t>
      </w:r>
      <w:proofErr w:type="spellEnd"/>
      <w:r w:rsidRPr="009E5F12">
        <w:t xml:space="preserve"> для этого показателя:</w:t>
      </w:r>
    </w:p>
    <w:p w:rsidR="009E5F12" w:rsidRPr="009E5F12" w:rsidRDefault="009E5F12" w:rsidP="009E5F12">
      <w:r w:rsidRPr="009E5F12">
        <w:lastRenderedPageBreak/>
        <w:t>возраст и пол взяткодателей</w:t>
      </w:r>
    </w:p>
    <w:p w:rsidR="009E5F12" w:rsidRPr="009E5F12" w:rsidRDefault="009E5F12" w:rsidP="009E5F12">
      <w:r>
        <w:t>категория официального лица</w:t>
      </w:r>
    </w:p>
    <w:p w:rsidR="009E5F12" w:rsidRPr="009E5F12" w:rsidRDefault="009E5F12" w:rsidP="009E5F12">
      <w:r w:rsidRPr="009E5F12">
        <w:t>уровень доходов взяткодателей</w:t>
      </w:r>
    </w:p>
    <w:p w:rsidR="009E5F12" w:rsidRPr="00BD29EC" w:rsidRDefault="009E5F12" w:rsidP="009E5F12">
      <w:r w:rsidRPr="009E5F12">
        <w:t>уровень образования взяткодателей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B20C0A" w:rsidRPr="00B20C0A" w:rsidRDefault="00B20C0A" w:rsidP="00B20C0A">
      <w:r w:rsidRPr="00B20C0A">
        <w:t>Источники расхождений:</w:t>
      </w:r>
    </w:p>
    <w:p w:rsidR="002E15F9" w:rsidRDefault="00B20C0A" w:rsidP="00B20C0A">
      <w:r w:rsidRPr="00B20C0A">
        <w:t>В настоящее время используются только данные из национальных источников.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040034">
        <w:rPr>
          <w:rFonts w:eastAsia="Times New Roman" w:cs="Times New Roman"/>
          <w:b/>
          <w:szCs w:val="24"/>
          <w:lang w:val="en-US"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B20C0A" w:rsidRPr="006C28AD" w:rsidRDefault="00B20C0A" w:rsidP="00B20C0A">
      <w:pPr>
        <w:rPr>
          <w:lang w:eastAsia="en-GB"/>
        </w:rPr>
      </w:pPr>
      <w:r w:rsidRPr="006C28AD">
        <w:rPr>
          <w:lang w:eastAsia="en-GB"/>
        </w:rPr>
        <w:t>URL:</w:t>
      </w:r>
    </w:p>
    <w:p w:rsidR="00B20C0A" w:rsidRPr="006C28AD" w:rsidRDefault="00B20C0A" w:rsidP="00B20C0A">
      <w:pPr>
        <w:rPr>
          <w:lang w:eastAsia="en-GB"/>
        </w:rPr>
      </w:pPr>
      <w:r w:rsidRPr="006C28AD">
        <w:rPr>
          <w:lang w:eastAsia="en-GB"/>
        </w:rPr>
        <w:t>www.unodc.org</w:t>
      </w:r>
    </w:p>
    <w:p w:rsidR="00B20C0A" w:rsidRPr="006C28AD" w:rsidRDefault="00B20C0A" w:rsidP="00B20C0A">
      <w:pPr>
        <w:rPr>
          <w:lang w:eastAsia="en-GB"/>
        </w:rPr>
      </w:pPr>
      <w:r>
        <w:rPr>
          <w:lang w:eastAsia="en-GB"/>
        </w:rPr>
        <w:t>Использованные документы</w:t>
      </w:r>
      <w:r w:rsidRPr="006C28AD">
        <w:rPr>
          <w:lang w:eastAsia="en-GB"/>
        </w:rPr>
        <w:t>:</w:t>
      </w:r>
    </w:p>
    <w:p w:rsidR="00B20C0A" w:rsidRPr="00B20C0A" w:rsidRDefault="00B20C0A" w:rsidP="00B20C0A">
      <w:pPr>
        <w:rPr>
          <w:lang w:eastAsia="en-GB"/>
        </w:rPr>
      </w:pPr>
      <w:r w:rsidRPr="00B20C0A">
        <w:rPr>
          <w:lang w:eastAsia="en-GB"/>
        </w:rPr>
        <w:t>УНП ООН, Международная классификация преступлений для статистических целей</w:t>
      </w:r>
      <w:bookmarkStart w:id="5" w:name="_GoBack"/>
      <w:bookmarkEnd w:id="5"/>
      <w:r w:rsidRPr="00B20C0A">
        <w:rPr>
          <w:lang w:eastAsia="en-GB"/>
        </w:rPr>
        <w:t>, 2015</w:t>
      </w:r>
    </w:p>
    <w:sectPr w:rsidR="00B20C0A" w:rsidRPr="00B20C0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09" w:rsidRDefault="00690B09" w:rsidP="00F73DBC">
      <w:pPr>
        <w:spacing w:after="0" w:line="240" w:lineRule="auto"/>
      </w:pPr>
      <w:r>
        <w:separator/>
      </w:r>
    </w:p>
  </w:endnote>
  <w:endnote w:type="continuationSeparator" w:id="0">
    <w:p w:rsidR="00690B09" w:rsidRDefault="00690B09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09" w:rsidRDefault="00690B09" w:rsidP="00F73DBC">
      <w:pPr>
        <w:spacing w:after="0" w:line="240" w:lineRule="auto"/>
      </w:pPr>
      <w:r>
        <w:separator/>
      </w:r>
    </w:p>
  </w:footnote>
  <w:footnote w:type="continuationSeparator" w:id="0">
    <w:p w:rsidR="00690B09" w:rsidRDefault="00690B09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9D4322">
      <w:rPr>
        <w:rFonts w:cs="Times New Roman"/>
      </w:rPr>
      <w:t xml:space="preserve">август </w:t>
    </w:r>
    <w:r w:rsidR="00781DE7" w:rsidRPr="00087B96">
      <w:rPr>
        <w:rFonts w:cs="Times New Roman"/>
      </w:rPr>
      <w:t>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40034"/>
    <w:rsid w:val="000476F9"/>
    <w:rsid w:val="000522C4"/>
    <w:rsid w:val="00053D20"/>
    <w:rsid w:val="00087B96"/>
    <w:rsid w:val="000A210D"/>
    <w:rsid w:val="000A229E"/>
    <w:rsid w:val="000C5EF5"/>
    <w:rsid w:val="000F3B83"/>
    <w:rsid w:val="00107A08"/>
    <w:rsid w:val="00116248"/>
    <w:rsid w:val="001458DC"/>
    <w:rsid w:val="001470A2"/>
    <w:rsid w:val="00147D8F"/>
    <w:rsid w:val="001612F6"/>
    <w:rsid w:val="00165896"/>
    <w:rsid w:val="001762D0"/>
    <w:rsid w:val="0018353F"/>
    <w:rsid w:val="001A163A"/>
    <w:rsid w:val="001C4663"/>
    <w:rsid w:val="001E2FC9"/>
    <w:rsid w:val="001E76DC"/>
    <w:rsid w:val="002064C4"/>
    <w:rsid w:val="002306F8"/>
    <w:rsid w:val="002652D0"/>
    <w:rsid w:val="00291FA0"/>
    <w:rsid w:val="002C7BF9"/>
    <w:rsid w:val="002E122C"/>
    <w:rsid w:val="002E15F9"/>
    <w:rsid w:val="002F63E5"/>
    <w:rsid w:val="00303D71"/>
    <w:rsid w:val="003143BC"/>
    <w:rsid w:val="00320C65"/>
    <w:rsid w:val="00322B59"/>
    <w:rsid w:val="003746BC"/>
    <w:rsid w:val="003859BD"/>
    <w:rsid w:val="003A325C"/>
    <w:rsid w:val="003D33FA"/>
    <w:rsid w:val="003D58DC"/>
    <w:rsid w:val="003D7A38"/>
    <w:rsid w:val="003E7450"/>
    <w:rsid w:val="00407AF0"/>
    <w:rsid w:val="00407E4E"/>
    <w:rsid w:val="004143B4"/>
    <w:rsid w:val="00421928"/>
    <w:rsid w:val="004344AC"/>
    <w:rsid w:val="00456E71"/>
    <w:rsid w:val="00467B9B"/>
    <w:rsid w:val="004B252B"/>
    <w:rsid w:val="004D2413"/>
    <w:rsid w:val="004E087E"/>
    <w:rsid w:val="005016B8"/>
    <w:rsid w:val="00503B4A"/>
    <w:rsid w:val="00504837"/>
    <w:rsid w:val="00532D98"/>
    <w:rsid w:val="00587D0B"/>
    <w:rsid w:val="005C6119"/>
    <w:rsid w:val="005E2D9C"/>
    <w:rsid w:val="005E47BD"/>
    <w:rsid w:val="005F2C0B"/>
    <w:rsid w:val="00655F55"/>
    <w:rsid w:val="006704C2"/>
    <w:rsid w:val="00682107"/>
    <w:rsid w:val="00690B09"/>
    <w:rsid w:val="00691C96"/>
    <w:rsid w:val="00694160"/>
    <w:rsid w:val="006B260E"/>
    <w:rsid w:val="006B3939"/>
    <w:rsid w:val="006C43F8"/>
    <w:rsid w:val="006D5488"/>
    <w:rsid w:val="006D7049"/>
    <w:rsid w:val="00702333"/>
    <w:rsid w:val="00705161"/>
    <w:rsid w:val="00724018"/>
    <w:rsid w:val="00741A39"/>
    <w:rsid w:val="0075371E"/>
    <w:rsid w:val="00753F18"/>
    <w:rsid w:val="00780F08"/>
    <w:rsid w:val="00781DE7"/>
    <w:rsid w:val="007B07B2"/>
    <w:rsid w:val="007B0CFD"/>
    <w:rsid w:val="007B32CE"/>
    <w:rsid w:val="007C27E0"/>
    <w:rsid w:val="007D1185"/>
    <w:rsid w:val="007D1FD7"/>
    <w:rsid w:val="007F06DF"/>
    <w:rsid w:val="008138AD"/>
    <w:rsid w:val="00815C07"/>
    <w:rsid w:val="00836F3E"/>
    <w:rsid w:val="00853C09"/>
    <w:rsid w:val="00864C1A"/>
    <w:rsid w:val="00865D60"/>
    <w:rsid w:val="008D03E4"/>
    <w:rsid w:val="0092739E"/>
    <w:rsid w:val="009508D1"/>
    <w:rsid w:val="00957A62"/>
    <w:rsid w:val="00963238"/>
    <w:rsid w:val="009655B4"/>
    <w:rsid w:val="009737AE"/>
    <w:rsid w:val="00980F79"/>
    <w:rsid w:val="00982FE8"/>
    <w:rsid w:val="009C064B"/>
    <w:rsid w:val="009D4322"/>
    <w:rsid w:val="009E5F12"/>
    <w:rsid w:val="009F43A6"/>
    <w:rsid w:val="00A110F9"/>
    <w:rsid w:val="00A22947"/>
    <w:rsid w:val="00A53D4B"/>
    <w:rsid w:val="00A618FC"/>
    <w:rsid w:val="00A71EC6"/>
    <w:rsid w:val="00A82CD3"/>
    <w:rsid w:val="00A91FDE"/>
    <w:rsid w:val="00AC1A97"/>
    <w:rsid w:val="00B0378B"/>
    <w:rsid w:val="00B20C0A"/>
    <w:rsid w:val="00B518DC"/>
    <w:rsid w:val="00B72F77"/>
    <w:rsid w:val="00BD29EC"/>
    <w:rsid w:val="00BE2C5D"/>
    <w:rsid w:val="00BE415C"/>
    <w:rsid w:val="00C219A9"/>
    <w:rsid w:val="00C47A4A"/>
    <w:rsid w:val="00C515AF"/>
    <w:rsid w:val="00C8596F"/>
    <w:rsid w:val="00C90708"/>
    <w:rsid w:val="00C95AB2"/>
    <w:rsid w:val="00CA1CB1"/>
    <w:rsid w:val="00CA53CA"/>
    <w:rsid w:val="00D05466"/>
    <w:rsid w:val="00D2619D"/>
    <w:rsid w:val="00D70386"/>
    <w:rsid w:val="00DA19D7"/>
    <w:rsid w:val="00DC18AA"/>
    <w:rsid w:val="00E123F7"/>
    <w:rsid w:val="00E21B43"/>
    <w:rsid w:val="00E27922"/>
    <w:rsid w:val="00E33CA8"/>
    <w:rsid w:val="00E559F9"/>
    <w:rsid w:val="00E90BD4"/>
    <w:rsid w:val="00EA206F"/>
    <w:rsid w:val="00EB362A"/>
    <w:rsid w:val="00EB389E"/>
    <w:rsid w:val="00EC401A"/>
    <w:rsid w:val="00EE0900"/>
    <w:rsid w:val="00F152AB"/>
    <w:rsid w:val="00F374BA"/>
    <w:rsid w:val="00F53A75"/>
    <w:rsid w:val="00F5412C"/>
    <w:rsid w:val="00F6371F"/>
    <w:rsid w:val="00F73DBC"/>
    <w:rsid w:val="00F84FF1"/>
    <w:rsid w:val="00F85991"/>
    <w:rsid w:val="00F92D6F"/>
    <w:rsid w:val="00FB66D9"/>
    <w:rsid w:val="00FC5800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72401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MGTHeader">
    <w:name w:val="M.G+T.Header"/>
    <w:basedOn w:val="a"/>
    <w:link w:val="MGTHeaderChar"/>
    <w:qFormat/>
    <w:rsid w:val="008D03E4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8D03E4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72401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MGTHeader">
    <w:name w:val="M.G+T.Header"/>
    <w:basedOn w:val="a"/>
    <w:link w:val="MGTHeaderChar"/>
    <w:qFormat/>
    <w:rsid w:val="008D03E4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8D03E4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53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19057-3731-4FBD-9EA0-95820CB8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БойкоТатьяна Евгеньевна</dc:creator>
  <cp:lastModifiedBy>Жирякова Екатерина Александровна</cp:lastModifiedBy>
  <cp:revision>12</cp:revision>
  <dcterms:created xsi:type="dcterms:W3CDTF">2022-08-30T08:11:00Z</dcterms:created>
  <dcterms:modified xsi:type="dcterms:W3CDTF">2022-08-30T08:59:00Z</dcterms:modified>
</cp:coreProperties>
</file>