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5016B8">
        <w:rPr>
          <w:rFonts w:cs="Times New Roman"/>
          <w:szCs w:val="24"/>
        </w:rPr>
        <w:t>5</w:t>
      </w:r>
      <w:r w:rsidR="00780F08" w:rsidRPr="00BD29EC">
        <w:rPr>
          <w:rFonts w:cs="Times New Roman"/>
          <w:szCs w:val="24"/>
        </w:rPr>
        <w:t xml:space="preserve">. </w:t>
      </w:r>
      <w:r w:rsidR="006A657A" w:rsidRPr="006A657A">
        <w:rPr>
          <w:rFonts w:cs="Times New Roman"/>
          <w:szCs w:val="24"/>
        </w:rPr>
        <w:t>Значительно сократить масштабы коррупции и взяточничества во всех их формах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5016B8">
        <w:t>5</w:t>
      </w:r>
      <w:r w:rsidR="002064C4">
        <w:t>.</w:t>
      </w:r>
      <w:r w:rsidR="006A657A">
        <w:t>2</w:t>
      </w:r>
      <w:r w:rsidR="00C95AB2">
        <w:t>.</w:t>
      </w:r>
      <w:r w:rsidR="00780F08" w:rsidRPr="00BD29EC">
        <w:t xml:space="preserve"> </w:t>
      </w:r>
      <w:proofErr w:type="gramStart"/>
      <w:r w:rsidR="006A657A" w:rsidRPr="006A657A">
        <w:t>Доля коммерческих компаний,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w:t>
      </w:r>
      <w:proofErr w:type="gramEnd"/>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4113E" w:rsidRPr="00004BE3" w:rsidRDefault="00C4113E" w:rsidP="00C4113E">
      <w:pPr>
        <w:rPr>
          <w:rFonts w:eastAsia="Arial Unicode MS" w:cs="Times New Roman"/>
          <w:b/>
          <w:szCs w:val="24"/>
          <w:bdr w:val="nil"/>
          <w:lang w:eastAsia="ru-RU"/>
        </w:rPr>
      </w:pPr>
      <w:r>
        <w:t>2022-05-18</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C4113E" w:rsidRDefault="00C4113E" w:rsidP="00C4113E">
      <w:pPr>
        <w:rPr>
          <w:bdr w:val="nil"/>
          <w:lang w:eastAsia="ru-RU"/>
        </w:rPr>
      </w:pPr>
      <w:r>
        <w:rPr>
          <w:bdr w:val="nil"/>
          <w:lang w:eastAsia="ru-RU"/>
        </w:rPr>
        <w:t>Всемирный банк (ВБ)</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4113E" w:rsidRPr="00C4113E" w:rsidRDefault="00C4113E" w:rsidP="00C4113E">
      <w:pPr>
        <w:rPr>
          <w:bdr w:val="nil"/>
          <w:lang w:eastAsia="ru-RU"/>
        </w:rPr>
      </w:pPr>
      <w:r>
        <w:rPr>
          <w:bdr w:val="nil"/>
          <w:lang w:eastAsia="ru-RU"/>
        </w:rPr>
        <w:t>Всемирный банк (ВБ)</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C4113E" w:rsidRDefault="00C4113E" w:rsidP="00C4113E">
      <w:r w:rsidRPr="00C4113E">
        <w:t>Процент фирм, получивших хотя бы один запрос на выплату взятки по шести публичным сделкам, связанным с доступом к коммунальным услугам, разрешениями, лицензиями и налогами.</w:t>
      </w:r>
    </w:p>
    <w:p w:rsidR="001E2527" w:rsidRDefault="001E2527" w:rsidP="00DA19D7">
      <w:pPr>
        <w:pStyle w:val="MText"/>
        <w:rPr>
          <w:rFonts w:eastAsiaTheme="minorHAnsi" w:cstheme="minorBidi"/>
          <w:color w:val="auto"/>
          <w:sz w:val="24"/>
          <w:szCs w:val="22"/>
          <w:lang w:val="ru-RU" w:eastAsia="en-US"/>
        </w:rPr>
      </w:pPr>
      <w:r w:rsidRPr="001E2527">
        <w:rPr>
          <w:rFonts w:eastAsiaTheme="minorHAnsi" w:cstheme="minorBidi"/>
          <w:color w:val="auto"/>
          <w:sz w:val="24"/>
          <w:szCs w:val="22"/>
          <w:lang w:val="ru-RU" w:eastAsia="en-US"/>
        </w:rPr>
        <w:t>В каждом Обследовании предприяти</w:t>
      </w:r>
      <w:r>
        <w:rPr>
          <w:rFonts w:eastAsiaTheme="minorHAnsi" w:cstheme="minorBidi"/>
          <w:color w:val="auto"/>
          <w:sz w:val="24"/>
          <w:szCs w:val="22"/>
          <w:lang w:val="ru-RU" w:eastAsia="en-US"/>
        </w:rPr>
        <w:t xml:space="preserve">я (www.enterprisesurveys.org) </w:t>
      </w:r>
      <w:r w:rsidRPr="001E2527">
        <w:rPr>
          <w:rFonts w:eastAsiaTheme="minorHAnsi" w:cstheme="minorBidi"/>
          <w:color w:val="auto"/>
          <w:sz w:val="24"/>
          <w:szCs w:val="22"/>
          <w:lang w:val="ru-RU" w:eastAsia="en-US"/>
        </w:rPr>
        <w:t xml:space="preserve">существуют стандартные вопросы, </w:t>
      </w:r>
      <w:r>
        <w:rPr>
          <w:rFonts w:eastAsiaTheme="minorHAnsi" w:cstheme="minorBidi"/>
          <w:color w:val="auto"/>
          <w:sz w:val="24"/>
          <w:szCs w:val="22"/>
          <w:lang w:val="ru-RU" w:eastAsia="en-US"/>
        </w:rPr>
        <w:t>в которых</w:t>
      </w:r>
      <w:r w:rsidRPr="001E2527">
        <w:rPr>
          <w:rFonts w:eastAsiaTheme="minorHAnsi" w:cstheme="minorBidi"/>
          <w:color w:val="auto"/>
          <w:sz w:val="24"/>
          <w:szCs w:val="22"/>
          <w:lang w:val="ru-RU" w:eastAsia="en-US"/>
        </w:rPr>
        <w:t xml:space="preserve"> респондента</w:t>
      </w:r>
      <w:r>
        <w:rPr>
          <w:rFonts w:eastAsiaTheme="minorHAnsi" w:cstheme="minorBidi"/>
          <w:color w:val="auto"/>
          <w:sz w:val="24"/>
          <w:szCs w:val="22"/>
          <w:lang w:val="ru-RU" w:eastAsia="en-US"/>
        </w:rPr>
        <w:t xml:space="preserve"> спрашивают</w:t>
      </w:r>
      <w:r w:rsidRPr="001E2527">
        <w:rPr>
          <w:rFonts w:eastAsiaTheme="minorHAnsi" w:cstheme="minorBidi"/>
          <w:color w:val="auto"/>
          <w:sz w:val="24"/>
          <w:szCs w:val="22"/>
          <w:lang w:val="ru-RU" w:eastAsia="en-US"/>
        </w:rPr>
        <w:t xml:space="preserve">, ожидалось ли от него сделать подарок или неофициальный платеж во время сделки с государственным должностным лицом.  Есть шесть отдельных транзакций, которые составляют этот показатель, они включают в себя заявку на подключение к электричеству, заявку на подключение к воде, заявку на получение разрешения, связанного со строительством, заявку на получение лицензии на импорт, заявку на получение лицензии на эксплуатацию, а также во время </w:t>
      </w:r>
      <w:r w:rsidRPr="001E2527">
        <w:rPr>
          <w:rFonts w:eastAsiaTheme="minorHAnsi" w:cstheme="minorBidi"/>
          <w:color w:val="auto"/>
          <w:sz w:val="24"/>
          <w:szCs w:val="22"/>
          <w:lang w:val="ru-RU" w:eastAsia="en-US"/>
        </w:rPr>
        <w:lastRenderedPageBreak/>
        <w:t>проверки / встречи с налоговыми чиновниками.  Во всех этих транзакциях, если респондент указывает "да", что у него была транзакция (например, они подали заявку на получение лицензии на импорт), тогда возникает дополнительный вопрос, в котором спрашивается, ожидалось ли, что респондент предоставит подарок или неофициальный платеж во время этой транзакции (заявки или встречи). Варианты ответа включают “да”, “нет”, “не знаю” и “отказываюсь”.  Обратите внимание, что отказы принимаются и регистрируются, но для целей построения индикатора отказы рассматриваются как ‘да’.  Показатель 16.5.2 измеряет, ответил ли респондент ‘да’ на выплату взятки по любой из этих шести операций.</w:t>
      </w:r>
    </w:p>
    <w:p w:rsidR="001E2527" w:rsidRDefault="001E2527" w:rsidP="001E2527">
      <w:r w:rsidRPr="001E2527">
        <w:t xml:space="preserve">Обследования предприятий - это обследования на уровне фирм, проводимые в странах-клиентах Всемирного банка. Исследование фокусируется на различных аспектах </w:t>
      </w:r>
      <w:proofErr w:type="gramStart"/>
      <w:r w:rsidRPr="001E2527">
        <w:t>бизнес-среды</w:t>
      </w:r>
      <w:proofErr w:type="gramEnd"/>
      <w:r w:rsidRPr="001E2527">
        <w:t xml:space="preserve">, а также на конечных показателях фирмы, таких как годовой объем продаж, производительность и т.д. Опросы проводятся путем личных интервью с </w:t>
      </w:r>
      <w:proofErr w:type="gramStart"/>
      <w:r w:rsidRPr="001E2527">
        <w:t>топ-менеджером</w:t>
      </w:r>
      <w:proofErr w:type="gramEnd"/>
      <w:r w:rsidRPr="001E2527">
        <w:t xml:space="preserve"> или владельцем бизнеса. Для каждой страны опрос проводится примерно каждые 4-5 лет.</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1E2527" w:rsidRPr="001E2527" w:rsidRDefault="001E2527" w:rsidP="001E2527">
      <w:r w:rsidRPr="001E2527">
        <w:t>Респондентами Обследования предприятий являются фирмы - либо производственные, либо предприятия сферы услуг. Это зарегистрированные (официальные) фирмы с 5+ сотрудниками. Фирмы являются либо полностью, либо частично частными (100% государственные компании не имеют права участвовать в Обследовании предприятий). Дополнительную информацию о методологии опроса можно найти на странице «Методология» веб-сайта: www.enterprisesurveys.org/</w:t>
      </w:r>
      <w:proofErr w:type="spellStart"/>
      <w:r w:rsidRPr="001E2527">
        <w:t>methodology</w:t>
      </w:r>
      <w:proofErr w:type="spellEnd"/>
      <w:r w:rsidRPr="001E2527">
        <w:t>.</w:t>
      </w:r>
    </w:p>
    <w:p w:rsidR="001E2527" w:rsidRPr="00DA19D7" w:rsidRDefault="001E2527" w:rsidP="001E2527">
      <w:r w:rsidRPr="001E2527">
        <w:t>Подарок или неофициальный платеж считается «взяткой».</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1E2527" w:rsidRPr="001E2527" w:rsidRDefault="001E2527" w:rsidP="001E2527">
      <w:r w:rsidRPr="001E2527">
        <w:t>Веб-сайт для проведения обследований предприятий (www.enterprisesurveys.org</w:t>
      </w:r>
      <w:proofErr w:type="gramStart"/>
      <w:r w:rsidRPr="001E2527">
        <w:t xml:space="preserve"> )</w:t>
      </w:r>
      <w:proofErr w:type="gramEnd"/>
      <w:r w:rsidRPr="001E2527">
        <w:t xml:space="preserve"> предоставляет все метаданные, включая вопросники для обследований и отчеты о внедрении для всех обследований предприятий. В отчетах о внедрении указывается размер выборки, используемые рамки выборки, даты/продолжительность полевых работ, частота ответов и т.д.</w:t>
      </w:r>
    </w:p>
    <w:p w:rsidR="001E2527" w:rsidRPr="00BD29EC" w:rsidRDefault="001E2527" w:rsidP="001E2527">
      <w:r w:rsidRPr="001E2527">
        <w:t>Регистрация на веб-сайте Обследования предприятий бесплатна, а информационный портал веб-сайта позволяет пользователям получать доступ к исходным данным и документации по каждому обследованию.</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1E2527" w:rsidRPr="00BD29EC" w:rsidRDefault="001E2527" w:rsidP="001E2527">
      <w:r w:rsidRPr="001E2527">
        <w:t>Всемирный банк проводит обследования предприятий в странах-клиентах. О</w:t>
      </w:r>
      <w:r>
        <w:t>бследования</w:t>
      </w:r>
      <w:r w:rsidRPr="001E2527">
        <w:t xml:space="preserve"> сопоставимы, поскольку методология опроса последовательно применяется в разных </w:t>
      </w:r>
      <w:r w:rsidRPr="001E2527">
        <w:lastRenderedPageBreak/>
        <w:t>странах: получение подходящих рамок выборки, критерии отбора фирм-респондентов, структура выборки опроса, основные элементы вопросника по каждой стране, стандартизированные проверки качества полученных данных, стандартизированный расчет весовых коэффициентов выборки и т.д.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E2527" w:rsidRPr="00BD29EC" w:rsidRDefault="001E2527" w:rsidP="001E2527">
      <w:r>
        <w:t>Проведение обследований</w:t>
      </w:r>
      <w:r w:rsidRPr="001E2527">
        <w:t xml:space="preserve"> продолжа</w:t>
      </w:r>
      <w:r>
        <w:t>е</w:t>
      </w:r>
      <w:r w:rsidRPr="001E2527">
        <w:t>тся. Информацию о текущих проектах можно найти по адресу: http://www.enterprisesurveys.org/Methodology/Current-projects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94D5F" w:rsidRPr="00BD29EC" w:rsidRDefault="00694D5F" w:rsidP="00694D5F">
      <w:r w:rsidRPr="00694D5F">
        <w:t>Показатели на веб-сайте Обследований предприятий обновляются всякий раз, когда новый опрос был завершен и загружен на веб-сайт. Для каждой страны при расчете показателя используется только последнее завершенное обследование.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694D5F" w:rsidRPr="00A71EC6" w:rsidRDefault="00694D5F" w:rsidP="00694D5F">
      <w:r w:rsidRPr="00694D5F">
        <w:t>Этот показатель получен на основе обследований предприятий, проводимых Всемирным банком. Всемирный банк обычно нанимает частного подрядчика (как правило, компанию по исследованию рынка) для проведения полевых исследований.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8D75B6" w:rsidRPr="00BD29EC" w:rsidRDefault="008D75B6" w:rsidP="008D75B6">
      <w:r>
        <w:t>Всемирный банк</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8D75B6" w:rsidP="008D75B6">
      <w:r w:rsidRPr="008D75B6">
        <w:t xml:space="preserve">Обоснование этого показателя заключается в том, чтобы выяснить, запрашивают ли фирмы подарки или неофициальные платежи (например, взятки) при осуществлении сделок с участием государственных должностных лиц. Подача заявок на получение лицензий регулирующих органов, подключение к инженерным сетям и уплата налогов являются обязательными формальными документами в большинстве стран, и, следовательно, рациональным для этого показателя является измерение уровня коррупции во время этих рутинных операций. Ключевым преимуществом опроса предприятий является то, что большинство вопросов в опросе относятся к фактическому, повседневному опыту фирмы; эти вопросы, касающиеся коррупции, не основаны на мнении, а скорее основаны на повседневной </w:t>
      </w:r>
      <w:r w:rsidR="00794001">
        <w:t>деятельности</w:t>
      </w:r>
      <w:r w:rsidRPr="008D75B6">
        <w:t xml:space="preserve"> фирмы.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8D5029" w:rsidRPr="008D5029" w:rsidRDefault="008D5029" w:rsidP="008D5029">
      <w:r w:rsidRPr="008D5029">
        <w:t>Ключевой особенностью опроса предприятий является то, что большинство вопросов в о</w:t>
      </w:r>
      <w:r>
        <w:t>бследовании</w:t>
      </w:r>
      <w:r w:rsidRPr="008D5029">
        <w:t xml:space="preserve"> относятся к фактическому, повседневному опыту фирмы; эти вопросы, касающиеся коррупции, не основаны на мнении, а скорее основаны на повседневной </w:t>
      </w:r>
      <w:r>
        <w:t>деятельности</w:t>
      </w:r>
      <w:r w:rsidRPr="008D75B6">
        <w:t xml:space="preserve"> фирмы</w:t>
      </w:r>
      <w:r w:rsidRPr="008D5029">
        <w:t>.</w:t>
      </w:r>
    </w:p>
    <w:p w:rsidR="008D5029" w:rsidRPr="008D5029" w:rsidRDefault="008D5029" w:rsidP="008D5029"/>
    <w:p w:rsidR="008D5029" w:rsidRPr="008D5029" w:rsidRDefault="008D5029" w:rsidP="008D5029">
      <w:r w:rsidRPr="008D5029">
        <w:t>Ограничения включают в себя то, что данные некоторых стран имеют почти 10-летнюю давность (например, Буркина-Фасо и Бразилия). Это связано с тем фактом, что эти проекты очных обследований могут быть дорогостоящими в некоторых странах, и, следовательно, из-за бюджетных ограничений Всемирный банк не смог обновить некоторые данные обследований предприятий в подгруппе стран. Другим ограничением является то, что опросы проводятся в основном в странах -</w:t>
      </w:r>
      <w:r>
        <w:t xml:space="preserve"> </w:t>
      </w:r>
      <w:r w:rsidRPr="008D5029">
        <w:t>клиентах Всемирного банка, и, следовательно, несколько стран с высоким уровнем дохода не охвачены о</w:t>
      </w:r>
      <w:r w:rsidR="009B4532">
        <w:t>бследованиями</w:t>
      </w:r>
      <w:r w:rsidRPr="008D5029">
        <w:t xml:space="preserve"> (США, Канада, Великобритания, Сингапур, Япония, страны Персидского залива и т.д.).</w:t>
      </w:r>
    </w:p>
    <w:p w:rsidR="008D5029" w:rsidRPr="00BD29EC" w:rsidRDefault="008D5029" w:rsidP="008D5029">
      <w:r w:rsidRPr="008D5029">
        <w:t xml:space="preserve">Другим ограничением может быть </w:t>
      </w:r>
      <w:r w:rsidR="009B4532">
        <w:t>«</w:t>
      </w:r>
      <w:r w:rsidRPr="008D5029">
        <w:t>деликатный</w:t>
      </w:r>
      <w:r w:rsidR="009B4532">
        <w:t>»</w:t>
      </w:r>
      <w:r w:rsidRPr="008D5029">
        <w:t xml:space="preserve"> характер коррупции. В некоторых странах/культурах фирмам может быть </w:t>
      </w:r>
      <w:proofErr w:type="gramStart"/>
      <w:r w:rsidRPr="008D5029">
        <w:t>неудобно</w:t>
      </w:r>
      <w:proofErr w:type="gramEnd"/>
      <w:r w:rsidRPr="008D5029">
        <w:t xml:space="preserve"> отвечать на вопросы о коррупции. Несмотря на то, что данные собираются в </w:t>
      </w:r>
      <w:r w:rsidR="009B4532">
        <w:t>условиях</w:t>
      </w:r>
      <w:r w:rsidRPr="008D5029">
        <w:t xml:space="preserve"> конфиденциальности, фирмы могут отказаться отвечать </w:t>
      </w:r>
      <w:r w:rsidR="009B4532">
        <w:t>на вопрос, если им предлагали взятку</w:t>
      </w:r>
      <w:r w:rsidRPr="008D5029">
        <w:t>. Следовательно, в некоторых странах фактическая распространенность этого конкретного вида коррупции может быть выше расчетного значения показателя.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11544" w:rsidRDefault="00C11544" w:rsidP="00C11544">
      <w:r w:rsidRPr="00C11544">
        <w:t>Показатель рассчитывается для каждой страны путем анализа доли фирм, ответивших ‘да’ на вопросы о</w:t>
      </w:r>
      <w:r>
        <w:t>бследования</w:t>
      </w:r>
      <w:r w:rsidRPr="00C11544">
        <w:t xml:space="preserve">. Для всех проектов обследования предприятий, проведенных с 2006 года, результирующий набор данных имеет веса выборки. Следовательно, значение показателя, которое вычисляется с использованием </w:t>
      </w:r>
      <w:proofErr w:type="spellStart"/>
      <w:r w:rsidRPr="00C11544">
        <w:t>Stata</w:t>
      </w:r>
      <w:proofErr w:type="spellEnd"/>
      <w:r w:rsidRPr="00C11544">
        <w:t>, включает в себя эти веса выборки, а также проектные слои.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C11544" w:rsidRDefault="00C11544" w:rsidP="00C11544">
      <w:r w:rsidRPr="00C11544">
        <w:t>Этот показатель рассчитывается на основе данных, собранных в ходе обследований предприятий Всемирного банка.  Подробное руководство по внедрению обследований предприятий можно найти здесь (https://www.enterprisesurveys.org/content/dam/enterprisesurveys/documents/methodology/Enterprise-Surveys-Manual-and-Guide.pdf).  Раздел 4.4 “Цикл сбора данных” этого документа описывает существующие процессы, используемые для подтверждения или проверки данных обследования, которые собираются для обеспечения качества.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C11544" w:rsidP="00C11544">
      <w:r w:rsidRPr="00C11544">
        <w:t>Для любого конкретного обследования в ходе проверок качества, описанных в руководстве по проведению обследований предприятий (раздел 4.4), если в данных обнаруживаются несоответствия или ошибки, Всемирный банк передает эту обратную связь группе полевых исследований, которая проводит обследование в первую очередь.  Команда полевых работ должна убедиться, что все ошибки в данных исправлены (или, если данные действительно верны, предоставить обоснование Всемирному банку) при отправке окончательного набора данных обследования.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lastRenderedPageBreak/>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F1638" w:rsidP="002F1638">
      <w:r w:rsidRPr="002F1638">
        <w:t>Значение показателя не рассчитывается для стран, в которых не проводится обследование предприятий.</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2F1638" w:rsidRDefault="002F1638" w:rsidP="002F1638">
      <w:r w:rsidRPr="002F1638">
        <w:rPr>
          <w:szCs w:val="24"/>
        </w:rPr>
        <w:t xml:space="preserve">Региональные и глобальные агрегированные показатели этого показателя получены на </w:t>
      </w:r>
      <w:r w:rsidRPr="002F1638">
        <w:t>основе завершенных обследований. Для каждой страны создается единая балльная оценка, а глобальный/региональный агрегат представляет собой простое среднее значение балльной оценки каждой страны (при наличии доступных данных по этой стране). Например, среднее значение показателя для Восточной Азии и Тихого океана (оценка в баллах) не включает Японию, поскольку для Японии не проводится обследование предприятий.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CA53C3" w:rsidP="00CA53C3">
      <w:r w:rsidRPr="00CA53C3">
        <w:t>Региональные и глобальные агрегированные показатели рассчитываются путем использования простого среднего значения показателя для всех соответствующих стран. При составлении региональных и глобальных агрегированных данных, представленных на веб-сайте Обследований предприятий, обратите вним</w:t>
      </w:r>
      <w:r>
        <w:t>ание, что используются только обследования</w:t>
      </w:r>
      <w:r w:rsidRPr="00CA53C3">
        <w:t>, опубликованные в течение 2010 года и далее.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95FBA" w:rsidRPr="00BD29EC" w:rsidRDefault="00C95FBA" w:rsidP="00C95FBA">
      <w:r w:rsidRPr="00C95FBA">
        <w:t>Мы рекомендуем пользователям ознакомиться с веб-сайтом Обследований предприятий, чтобы ознакомиться с общей методологией обследования и узнать, какие страны доступны для целей сравнительного анализа.  http://www.enterprisesurveys.org/methodology</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C95FBA" w:rsidRPr="00BD29EC" w:rsidRDefault="00C95FBA" w:rsidP="00C95FBA">
      <w:r w:rsidRPr="00C95FBA">
        <w:t>Подробное руководство по внедрению обследований предприятий можно найти здесь (https://www.enterprisesurveys.org/content/dam/enterprisesurveys/documents/methodology/Enterprise-Surveys-Manual-and-Guide.pdf).  В этом руководстве содержится всеобъемлющий обзор управления качеством обследований предприятий.</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C95FBA" w:rsidRPr="00040034" w:rsidRDefault="00C95FBA" w:rsidP="00C95FBA">
      <w:r w:rsidRPr="00C95FBA">
        <w:t>Процесс обеспечения качества включает в себя обзор вопросников/документации/метаданных обследования, проверку надежности данных и обеспечение их соответствия международным стандартам (например, концепции рабочей силы в вопросах обследования соответствуют стандартам МОТ), а также проверку согласованности и непротиворечивости в наборе данных, а также времени ряд данных и результирующие показатели.</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C95FBA" w:rsidRPr="00C95FBA" w:rsidRDefault="00C95FBA" w:rsidP="00C95FBA">
      <w:r w:rsidRPr="00C95FBA">
        <w:t xml:space="preserve">При проведении наших опросных проектов группа полевых исследований должна периодически отправлять партии завершенных интервью во Всемирный банк, чтобы мы могли запускать наши собственные программы контроля качества данных. После запуска этих программ мы предоставляем обратную связь по контролю качества группе полевых </w:t>
      </w:r>
      <w:r w:rsidRPr="00C95FBA">
        <w:lastRenderedPageBreak/>
        <w:t>исследований, чтобы данные о</w:t>
      </w:r>
      <w:r>
        <w:t>бследования</w:t>
      </w:r>
      <w:r w:rsidRPr="00C95FBA">
        <w:t>, которые были помечены, можно было проверить и постоянно улучшать</w:t>
      </w:r>
      <w:r>
        <w:t xml:space="preserve"> их качество</w:t>
      </w:r>
      <w:r w:rsidRPr="00C95FBA">
        <w:t>. Именно так мы постоянно отслеживаем данные обследования, пока проекты находятся в полевых условиях.</w:t>
      </w:r>
    </w:p>
    <w:p w:rsidR="00C95FBA" w:rsidRPr="00BD29EC" w:rsidRDefault="00C95FBA" w:rsidP="00C95FBA">
      <w:r w:rsidRPr="00C95FBA">
        <w:t>Всемирный банк собирает данные этого о</w:t>
      </w:r>
      <w:r>
        <w:t>бследования</w:t>
      </w:r>
      <w:r w:rsidRPr="00C95FBA">
        <w:t xml:space="preserve"> для общественного блага. Для отдельного проекта обследования после того, как данные собраны и считаются окончательными (после наших собственных внутренних процессов контроля качества), данные обследования публикуются на веб-сайте Всемирного банка, </w:t>
      </w:r>
      <w:proofErr w:type="gramStart"/>
      <w:r w:rsidRPr="00C95FBA">
        <w:t>посвященном</w:t>
      </w:r>
      <w:proofErr w:type="gramEnd"/>
      <w:r w:rsidRPr="00C95FBA">
        <w:t xml:space="preserve"> о</w:t>
      </w:r>
      <w:r>
        <w:t>бследованиям</w:t>
      </w:r>
      <w:r w:rsidRPr="00C95FBA">
        <w:t xml:space="preserve"> предприятий.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DB32B9">
      <w:r w:rsidRPr="00BD29EC">
        <w:t>Доступность данных:</w:t>
      </w:r>
    </w:p>
    <w:p w:rsidR="00DB32B9" w:rsidRPr="00DB32B9" w:rsidRDefault="00DB32B9" w:rsidP="00DB32B9">
      <w:r w:rsidRPr="00DB32B9">
        <w:t>Доступность данных с 2010 г. по настоящее время (с точки зрения стран, имеющих как минимум 1 точку данных после 2010 г. для этого показателя):</w:t>
      </w:r>
    </w:p>
    <w:p w:rsidR="00DB32B9" w:rsidRPr="00BD29EC" w:rsidRDefault="00DB32B9" w:rsidP="00DB32B9">
      <w:r w:rsidRPr="00DB32B9">
        <w:t>Азия и Тихий океан: 28; Африка: 25; Латинская Америка и Карибский бассейн: 30; Европа, Северная Америка, Австралия, Новая Зеландия и Япония: 22.</w:t>
      </w:r>
    </w:p>
    <w:p w:rsidR="0075371E" w:rsidRPr="00BD29EC" w:rsidRDefault="0075371E" w:rsidP="0075371E">
      <w:pPr>
        <w:pStyle w:val="MText"/>
        <w:rPr>
          <w:color w:val="auto"/>
          <w:sz w:val="24"/>
          <w:szCs w:val="24"/>
          <w:lang w:val="ru-RU"/>
        </w:rPr>
      </w:pPr>
      <w:r w:rsidRPr="00BD29EC">
        <w:rPr>
          <w:color w:val="auto"/>
          <w:sz w:val="24"/>
          <w:szCs w:val="24"/>
          <w:lang w:val="ru-RU"/>
        </w:rPr>
        <w:t>Временные ряды:</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DB32B9" w:rsidRPr="00BD29EC" w:rsidRDefault="00DB32B9" w:rsidP="00DB32B9">
      <w:r w:rsidRPr="00DB32B9">
        <w:t>Обследование предприятий фиксирует несколько описательных характеристик фирм-респондентов, в том числе: пол топ-менеджера, основной вид деятельности фирмы, субнациональное местоположение фирмы, экспортный статус, количество сотрудников, степень иностранной собственности и ряд других характеристик. Следовательно, показатель может быть дезагрегирован по уровням этих индивидуальных характеристик.</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DB32B9" w:rsidRPr="00DB32B9" w:rsidRDefault="00DB32B9" w:rsidP="00DB32B9">
      <w:pPr>
        <w:rPr>
          <w:lang w:eastAsia="en-GB"/>
        </w:rPr>
      </w:pPr>
      <w:r w:rsidRPr="00DB32B9">
        <w:rPr>
          <w:lang w:eastAsia="en-GB"/>
        </w:rPr>
        <w:t>Источники расхождений:</w:t>
      </w:r>
    </w:p>
    <w:p w:rsidR="00DB32B9" w:rsidRDefault="00DB32B9" w:rsidP="00DB32B9">
      <w:pPr>
        <w:rPr>
          <w:lang w:eastAsia="en-GB"/>
        </w:rPr>
      </w:pPr>
      <w:r w:rsidRPr="00DB32B9">
        <w:rPr>
          <w:lang w:eastAsia="en-GB"/>
        </w:rPr>
        <w:t>Нам неизвестны какие-либо национальные данные по этому показателю.</w:t>
      </w:r>
    </w:p>
    <w:p w:rsidR="00040034" w:rsidRDefault="00040034" w:rsidP="00DB32B9">
      <w:pPr>
        <w:pBdr>
          <w:bottom w:val="single" w:sz="12" w:space="4" w:color="DDDDDD"/>
        </w:pBdr>
        <w:shd w:val="clear" w:color="auto" w:fill="FFFFFF"/>
        <w:spacing w:after="100"/>
        <w:outlineLvl w:val="2"/>
        <w:rPr>
          <w:rFonts w:eastAsia="Times New Roman" w:cs="Times New Roman"/>
          <w:b/>
          <w:szCs w:val="24"/>
          <w:lang w:eastAsia="en-GB"/>
        </w:rPr>
      </w:pPr>
      <w:r w:rsidRPr="00DB32B9">
        <w:rPr>
          <w:rFonts w:eastAsia="Times New Roman" w:cs="Times New Roman"/>
          <w:b/>
          <w:szCs w:val="24"/>
          <w:lang w:eastAsia="en-GB"/>
        </w:rPr>
        <w:t xml:space="preserve">7. </w:t>
      </w:r>
      <w:r>
        <w:rPr>
          <w:rFonts w:eastAsia="Times New Roman" w:cs="Times New Roman"/>
          <w:b/>
          <w:szCs w:val="24"/>
          <w:lang w:eastAsia="en-GB"/>
        </w:rPr>
        <w:t>Ссылки</w:t>
      </w:r>
      <w:r w:rsidRPr="00DB32B9">
        <w:rPr>
          <w:rFonts w:eastAsia="Times New Roman" w:cs="Times New Roman"/>
          <w:b/>
          <w:szCs w:val="24"/>
          <w:lang w:eastAsia="en-GB"/>
        </w:rPr>
        <w:t xml:space="preserve"> </w:t>
      </w:r>
      <w:r>
        <w:rPr>
          <w:rFonts w:eastAsia="Times New Roman" w:cs="Times New Roman"/>
          <w:b/>
          <w:szCs w:val="24"/>
          <w:lang w:eastAsia="en-GB"/>
        </w:rPr>
        <w:t>и</w:t>
      </w:r>
      <w:r w:rsidRPr="00DB32B9">
        <w:rPr>
          <w:rFonts w:eastAsia="Times New Roman" w:cs="Times New Roman"/>
          <w:b/>
          <w:szCs w:val="24"/>
          <w:lang w:eastAsia="en-GB"/>
        </w:rPr>
        <w:t xml:space="preserve"> </w:t>
      </w:r>
      <w:r>
        <w:rPr>
          <w:rFonts w:eastAsia="Times New Roman" w:cs="Times New Roman"/>
          <w:b/>
          <w:szCs w:val="24"/>
          <w:lang w:eastAsia="en-GB"/>
        </w:rPr>
        <w:t>документы</w:t>
      </w:r>
    </w:p>
    <w:p w:rsidR="00DB32B9" w:rsidRPr="00DB32B9" w:rsidRDefault="00DB32B9" w:rsidP="00DB32B9">
      <w:pPr>
        <w:rPr>
          <w:lang w:val="en-US"/>
        </w:rPr>
      </w:pPr>
      <w:r w:rsidRPr="00DB32B9">
        <w:rPr>
          <w:rStyle w:val="af5"/>
          <w:rFonts w:cs="Times New Roman"/>
          <w:b w:val="0"/>
          <w:color w:val="4A4A4A"/>
          <w:sz w:val="21"/>
          <w:szCs w:val="21"/>
          <w:lang w:val="en-US"/>
        </w:rPr>
        <w:t>URL:</w:t>
      </w:r>
    </w:p>
    <w:p w:rsidR="00DB32B9" w:rsidRPr="00DB32B9" w:rsidRDefault="00DB32B9" w:rsidP="00DB32B9">
      <w:pPr>
        <w:rPr>
          <w:rFonts w:asciiTheme="minorHAnsi" w:hAnsiTheme="minorHAnsi"/>
        </w:rPr>
      </w:pPr>
      <w:hyperlink r:id="rId9" w:history="1">
        <w:r w:rsidRPr="00DB32B9">
          <w:rPr>
            <w:rStyle w:val="ac"/>
            <w:rFonts w:asciiTheme="minorHAnsi" w:hAnsiTheme="minorHAnsi"/>
            <w:sz w:val="21"/>
            <w:szCs w:val="21"/>
          </w:rPr>
          <w:t>www.worldbank.org</w:t>
        </w:r>
      </w:hyperlink>
      <w:r w:rsidRPr="00DB32B9">
        <w:rPr>
          <w:rFonts w:asciiTheme="minorHAnsi" w:hAnsiTheme="minorHAnsi"/>
        </w:rPr>
        <w:t xml:space="preserve"> </w:t>
      </w:r>
      <w:bookmarkStart w:id="5" w:name="_GoBack"/>
      <w:bookmarkEnd w:id="5"/>
    </w:p>
    <w:p w:rsidR="00DB32B9" w:rsidRPr="00DB32B9" w:rsidRDefault="00DB32B9" w:rsidP="00DB32B9">
      <w:r w:rsidRPr="00DB32B9">
        <w:rPr>
          <w:rStyle w:val="af5"/>
          <w:rFonts w:cs="Times New Roman"/>
          <w:b w:val="0"/>
          <w:color w:val="4A4A4A"/>
          <w:sz w:val="21"/>
          <w:szCs w:val="21"/>
        </w:rPr>
        <w:t>Использованные документы</w:t>
      </w:r>
      <w:r w:rsidRPr="00DB32B9">
        <w:rPr>
          <w:rStyle w:val="af5"/>
          <w:rFonts w:cs="Times New Roman"/>
          <w:b w:val="0"/>
          <w:color w:val="4A4A4A"/>
          <w:sz w:val="21"/>
          <w:szCs w:val="21"/>
        </w:rPr>
        <w:t>:</w:t>
      </w:r>
    </w:p>
    <w:p w:rsidR="00DB32B9" w:rsidRPr="00345A59" w:rsidRDefault="00DB32B9" w:rsidP="00DB32B9">
      <w:pPr>
        <w:rPr>
          <w:rFonts w:asciiTheme="minorHAnsi" w:hAnsiTheme="minorHAnsi"/>
        </w:rPr>
      </w:pPr>
      <w:hyperlink r:id="rId10" w:history="1">
        <w:r w:rsidRPr="00EC2214">
          <w:rPr>
            <w:rStyle w:val="ac"/>
            <w:rFonts w:asciiTheme="minorHAnsi" w:hAnsiTheme="minorHAnsi"/>
            <w:sz w:val="21"/>
            <w:szCs w:val="21"/>
          </w:rPr>
          <w:t>www.enterprisesurveys.org</w:t>
        </w:r>
      </w:hyperlink>
      <w:r>
        <w:rPr>
          <w:rFonts w:asciiTheme="minorHAnsi" w:hAnsiTheme="minorHAnsi"/>
        </w:rPr>
        <w:t xml:space="preserve"> </w:t>
      </w:r>
    </w:p>
    <w:p w:rsidR="00DB32B9" w:rsidRPr="00345A59" w:rsidRDefault="00DB32B9" w:rsidP="00DB32B9">
      <w:pPr>
        <w:rPr>
          <w:rFonts w:asciiTheme="minorHAnsi" w:hAnsiTheme="minorHAnsi"/>
        </w:rPr>
      </w:pPr>
      <w:hyperlink r:id="rId11" w:history="1">
        <w:r w:rsidRPr="00EC2214">
          <w:rPr>
            <w:rStyle w:val="ac"/>
            <w:rFonts w:asciiTheme="minorHAnsi" w:hAnsiTheme="minorHAnsi"/>
            <w:sz w:val="21"/>
            <w:szCs w:val="21"/>
          </w:rPr>
          <w:t>www.enterprisesurveys.org/methodology</w:t>
        </w:r>
      </w:hyperlink>
      <w:r>
        <w:rPr>
          <w:rFonts w:asciiTheme="minorHAnsi" w:hAnsiTheme="minorHAnsi"/>
        </w:rPr>
        <w:t xml:space="preserve"> </w:t>
      </w:r>
    </w:p>
    <w:p w:rsidR="00DB32B9" w:rsidRPr="00DB32B9" w:rsidRDefault="00DB32B9" w:rsidP="00DB32B9">
      <w:pPr>
        <w:rPr>
          <w:rFonts w:asciiTheme="minorHAnsi" w:eastAsia="Times New Roman" w:hAnsiTheme="minorHAnsi"/>
          <w:lang w:val="en-GB" w:eastAsia="en-GB"/>
        </w:rPr>
      </w:pPr>
      <w:hyperlink r:id="rId12" w:history="1">
        <w:r w:rsidRPr="00EC2214">
          <w:rPr>
            <w:rStyle w:val="ac"/>
            <w:rFonts w:asciiTheme="minorHAnsi" w:hAnsiTheme="minorHAnsi"/>
            <w:sz w:val="21"/>
            <w:szCs w:val="21"/>
          </w:rPr>
          <w:t>http://www.enterprisesurveys.org/data/exploretopics/corruption</w:t>
        </w:r>
      </w:hyperlink>
      <w:r>
        <w:rPr>
          <w:rFonts w:asciiTheme="minorHAnsi" w:hAnsiTheme="minorHAnsi"/>
        </w:rPr>
        <w:t xml:space="preserve"> </w:t>
      </w:r>
    </w:p>
    <w:sectPr w:rsidR="00DB32B9" w:rsidRPr="00DB32B9">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4E" w:rsidRDefault="00B06B4E" w:rsidP="00F73DBC">
      <w:pPr>
        <w:spacing w:after="0" w:line="240" w:lineRule="auto"/>
      </w:pPr>
      <w:r>
        <w:separator/>
      </w:r>
    </w:p>
  </w:endnote>
  <w:endnote w:type="continuationSeparator" w:id="0">
    <w:p w:rsidR="00B06B4E" w:rsidRDefault="00B06B4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4E" w:rsidRDefault="00B06B4E" w:rsidP="00F73DBC">
      <w:pPr>
        <w:spacing w:after="0" w:line="240" w:lineRule="auto"/>
      </w:pPr>
      <w:r>
        <w:separator/>
      </w:r>
    </w:p>
  </w:footnote>
  <w:footnote w:type="continuationSeparator" w:id="0">
    <w:p w:rsidR="00B06B4E" w:rsidRDefault="00B06B4E"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2575B"/>
    <w:multiLevelType w:val="hybridMultilevel"/>
    <w:tmpl w:val="E72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527"/>
    <w:rsid w:val="001E2FC9"/>
    <w:rsid w:val="002064C4"/>
    <w:rsid w:val="002306F8"/>
    <w:rsid w:val="00252C1C"/>
    <w:rsid w:val="002652D0"/>
    <w:rsid w:val="00291FA0"/>
    <w:rsid w:val="002C7BF9"/>
    <w:rsid w:val="002E122C"/>
    <w:rsid w:val="002E15F9"/>
    <w:rsid w:val="002F1638"/>
    <w:rsid w:val="002F63E5"/>
    <w:rsid w:val="00303D71"/>
    <w:rsid w:val="003143BC"/>
    <w:rsid w:val="00320C65"/>
    <w:rsid w:val="00322B59"/>
    <w:rsid w:val="003746BC"/>
    <w:rsid w:val="003859BD"/>
    <w:rsid w:val="003A325C"/>
    <w:rsid w:val="003D33FA"/>
    <w:rsid w:val="003D58DC"/>
    <w:rsid w:val="003D7A38"/>
    <w:rsid w:val="00407AF0"/>
    <w:rsid w:val="00407E4E"/>
    <w:rsid w:val="004143B4"/>
    <w:rsid w:val="00421928"/>
    <w:rsid w:val="004344AC"/>
    <w:rsid w:val="00456E71"/>
    <w:rsid w:val="00467B9B"/>
    <w:rsid w:val="004D2413"/>
    <w:rsid w:val="004E087E"/>
    <w:rsid w:val="005016B8"/>
    <w:rsid w:val="00503B4A"/>
    <w:rsid w:val="00504837"/>
    <w:rsid w:val="00532D98"/>
    <w:rsid w:val="00587D0B"/>
    <w:rsid w:val="005C6119"/>
    <w:rsid w:val="005E47BD"/>
    <w:rsid w:val="005F2C0B"/>
    <w:rsid w:val="00655F55"/>
    <w:rsid w:val="006704C2"/>
    <w:rsid w:val="00682107"/>
    <w:rsid w:val="00690B09"/>
    <w:rsid w:val="00691C96"/>
    <w:rsid w:val="00694160"/>
    <w:rsid w:val="00694D5F"/>
    <w:rsid w:val="006A657A"/>
    <w:rsid w:val="006B260E"/>
    <w:rsid w:val="006B3939"/>
    <w:rsid w:val="006C43F8"/>
    <w:rsid w:val="006D5488"/>
    <w:rsid w:val="006D7049"/>
    <w:rsid w:val="00702333"/>
    <w:rsid w:val="00705161"/>
    <w:rsid w:val="00724018"/>
    <w:rsid w:val="00741A39"/>
    <w:rsid w:val="0075371E"/>
    <w:rsid w:val="00753F18"/>
    <w:rsid w:val="00780F08"/>
    <w:rsid w:val="00781DE7"/>
    <w:rsid w:val="00794001"/>
    <w:rsid w:val="007B07B2"/>
    <w:rsid w:val="007B0CFD"/>
    <w:rsid w:val="007B32CE"/>
    <w:rsid w:val="007C27E0"/>
    <w:rsid w:val="007D1185"/>
    <w:rsid w:val="007D1FD7"/>
    <w:rsid w:val="007F06DF"/>
    <w:rsid w:val="008138AD"/>
    <w:rsid w:val="00836F3E"/>
    <w:rsid w:val="00853C09"/>
    <w:rsid w:val="00864C1A"/>
    <w:rsid w:val="008D5029"/>
    <w:rsid w:val="008D75B6"/>
    <w:rsid w:val="0092739E"/>
    <w:rsid w:val="009508D1"/>
    <w:rsid w:val="00957A62"/>
    <w:rsid w:val="00963238"/>
    <w:rsid w:val="009655B4"/>
    <w:rsid w:val="009737AE"/>
    <w:rsid w:val="00980F79"/>
    <w:rsid w:val="00982FE8"/>
    <w:rsid w:val="009B4532"/>
    <w:rsid w:val="009C064B"/>
    <w:rsid w:val="009D4322"/>
    <w:rsid w:val="009F43A6"/>
    <w:rsid w:val="00A110F9"/>
    <w:rsid w:val="00A53D4B"/>
    <w:rsid w:val="00A618FC"/>
    <w:rsid w:val="00A71EC6"/>
    <w:rsid w:val="00A82CD3"/>
    <w:rsid w:val="00A91FDE"/>
    <w:rsid w:val="00AC1A97"/>
    <w:rsid w:val="00B0378B"/>
    <w:rsid w:val="00B06B4E"/>
    <w:rsid w:val="00B518DC"/>
    <w:rsid w:val="00B72F77"/>
    <w:rsid w:val="00BD29EC"/>
    <w:rsid w:val="00BE2C5D"/>
    <w:rsid w:val="00BE415C"/>
    <w:rsid w:val="00C11544"/>
    <w:rsid w:val="00C4113E"/>
    <w:rsid w:val="00C47A4A"/>
    <w:rsid w:val="00C515AF"/>
    <w:rsid w:val="00C8596F"/>
    <w:rsid w:val="00C90708"/>
    <w:rsid w:val="00C95AB2"/>
    <w:rsid w:val="00C95FBA"/>
    <w:rsid w:val="00CA1CB1"/>
    <w:rsid w:val="00CA53C3"/>
    <w:rsid w:val="00CA53CA"/>
    <w:rsid w:val="00D05466"/>
    <w:rsid w:val="00D2619D"/>
    <w:rsid w:val="00DA19D7"/>
    <w:rsid w:val="00DB32B9"/>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form-control-static">
    <w:name w:val="form-control-static"/>
    <w:basedOn w:val="a"/>
    <w:rsid w:val="00DB32B9"/>
    <w:pPr>
      <w:spacing w:before="100" w:beforeAutospacing="1" w:after="100" w:afterAutospacing="1" w:line="240" w:lineRule="auto"/>
      <w:jc w:val="left"/>
    </w:pPr>
    <w:rPr>
      <w:rFonts w:eastAsia="Times New Roman" w:cs="Times New Roman"/>
      <w:szCs w:val="24"/>
      <w:lang w:val="en-GB" w:eastAsia="en-GB"/>
    </w:rPr>
  </w:style>
  <w:style w:type="character" w:styleId="af5">
    <w:name w:val="Strong"/>
    <w:basedOn w:val="a0"/>
    <w:uiPriority w:val="22"/>
    <w:qFormat/>
    <w:rsid w:val="00DB3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form-control-static">
    <w:name w:val="form-control-static"/>
    <w:basedOn w:val="a"/>
    <w:rsid w:val="00DB32B9"/>
    <w:pPr>
      <w:spacing w:before="100" w:beforeAutospacing="1" w:after="100" w:afterAutospacing="1" w:line="240" w:lineRule="auto"/>
      <w:jc w:val="left"/>
    </w:pPr>
    <w:rPr>
      <w:rFonts w:eastAsia="Times New Roman" w:cs="Times New Roman"/>
      <w:szCs w:val="24"/>
      <w:lang w:val="en-GB" w:eastAsia="en-GB"/>
    </w:rPr>
  </w:style>
  <w:style w:type="character" w:styleId="af5">
    <w:name w:val="Strong"/>
    <w:basedOn w:val="a0"/>
    <w:uiPriority w:val="22"/>
    <w:qFormat/>
    <w:rsid w:val="00DB3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terprisesurveys.org/data/exploretopics/corru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erprisesurveys.org/methodolo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terprisesurveys.org" TargetMode="External"/><Relationship Id="rId4" Type="http://schemas.microsoft.com/office/2007/relationships/stylesWithEffects" Target="stylesWithEffects.xml"/><Relationship Id="rId9" Type="http://schemas.openxmlformats.org/officeDocument/2006/relationships/hyperlink" Target="http://www.worldbank.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71FB-A8B3-4C25-9EBE-B797A3C4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14</cp:revision>
  <dcterms:created xsi:type="dcterms:W3CDTF">2022-08-30T10:32:00Z</dcterms:created>
  <dcterms:modified xsi:type="dcterms:W3CDTF">2022-08-30T10:56:00Z</dcterms:modified>
</cp:coreProperties>
</file>