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EA489" w14:textId="77777777"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14:paraId="154AFB15"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14:paraId="788F09E6" w14:textId="77777777"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14:paraId="227BC261" w14:textId="77777777"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14:paraId="00DCC69A"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14:paraId="30BBC0BD" w14:textId="2A0E2576" w:rsidR="00780F08" w:rsidRPr="001F2B04"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8E36D4">
        <w:rPr>
          <w:rFonts w:eastAsia="Arial Unicode MS" w:cs="Times New Roman"/>
          <w:szCs w:val="24"/>
          <w:bdr w:val="nil"/>
          <w:lang w:eastAsia="ru-RU"/>
        </w:rPr>
        <w:t>12</w:t>
      </w:r>
      <w:r w:rsidRPr="00A343D5">
        <w:rPr>
          <w:rFonts w:eastAsia="Arial Unicode MS" w:cs="Times New Roman"/>
          <w:szCs w:val="24"/>
          <w:bdr w:val="nil"/>
          <w:lang w:eastAsia="ru-RU"/>
        </w:rPr>
        <w:t xml:space="preserve">: </w:t>
      </w:r>
      <w:r w:rsidR="008E36D4">
        <w:t>Обеспечение перехода к рациональным моделям потребления и производства</w:t>
      </w:r>
      <w:bookmarkStart w:id="0" w:name="_GoBack"/>
      <w:bookmarkEnd w:id="0"/>
    </w:p>
    <w:p w14:paraId="2DDDCE61"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14:paraId="31433BAA" w14:textId="32D60A4B" w:rsidR="002F63E5" w:rsidRPr="001F2B04" w:rsidRDefault="008E36D4" w:rsidP="00A343D5">
      <w:pPr>
        <w:pBdr>
          <w:top w:val="nil"/>
          <w:left w:val="nil"/>
          <w:bottom w:val="nil"/>
          <w:right w:val="nil"/>
          <w:between w:val="nil"/>
          <w:bar w:val="nil"/>
        </w:pBdr>
        <w:spacing w:after="0"/>
        <w:rPr>
          <w:rFonts w:cs="Times New Roman"/>
          <w:szCs w:val="24"/>
        </w:rPr>
      </w:pPr>
      <w:r>
        <w:rPr>
          <w:rFonts w:cs="Times New Roman"/>
          <w:szCs w:val="24"/>
        </w:rPr>
        <w:t>12</w:t>
      </w:r>
      <w:r w:rsidR="00780F08" w:rsidRPr="00A343D5">
        <w:rPr>
          <w:rFonts w:cs="Times New Roman"/>
          <w:szCs w:val="24"/>
        </w:rPr>
        <w:t>.</w:t>
      </w:r>
      <w:r>
        <w:rPr>
          <w:rFonts w:cs="Times New Roman"/>
          <w:szCs w:val="24"/>
        </w:rPr>
        <w:t>2</w:t>
      </w:r>
      <w:r w:rsidR="00780F08" w:rsidRPr="00A343D5">
        <w:rPr>
          <w:rFonts w:cs="Times New Roman"/>
          <w:szCs w:val="24"/>
        </w:rPr>
        <w:t xml:space="preserve">.  </w:t>
      </w:r>
      <w:r>
        <w:t>К 2030 году добиться рационального освоения и эффективного использования природных ресурсов</w:t>
      </w:r>
    </w:p>
    <w:p w14:paraId="7B54B179" w14:textId="77777777"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14:paraId="7B2966CD" w14:textId="62945976" w:rsidR="006677B0" w:rsidRPr="00FE734E"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8E36D4">
        <w:rPr>
          <w:rFonts w:cs="Times New Roman"/>
          <w:szCs w:val="24"/>
        </w:rPr>
        <w:t>12</w:t>
      </w:r>
      <w:r w:rsidR="00780F08" w:rsidRPr="00A343D5">
        <w:rPr>
          <w:rFonts w:cs="Times New Roman"/>
          <w:szCs w:val="24"/>
        </w:rPr>
        <w:t>.</w:t>
      </w:r>
      <w:r w:rsidR="008E36D4">
        <w:rPr>
          <w:rFonts w:cs="Times New Roman"/>
          <w:szCs w:val="24"/>
        </w:rPr>
        <w:t>2</w:t>
      </w:r>
      <w:r w:rsidR="00465587">
        <w:rPr>
          <w:rFonts w:cs="Times New Roman"/>
          <w:szCs w:val="24"/>
        </w:rPr>
        <w:t>.</w:t>
      </w:r>
      <w:r w:rsidR="00FE734E" w:rsidRPr="00FE734E">
        <w:rPr>
          <w:rFonts w:cs="Times New Roman"/>
          <w:szCs w:val="24"/>
        </w:rPr>
        <w:t>2</w:t>
      </w:r>
      <w:r w:rsidR="006677B0">
        <w:rPr>
          <w:rFonts w:cs="Times New Roman"/>
          <w:szCs w:val="24"/>
        </w:rPr>
        <w:t>.</w:t>
      </w:r>
      <w:r w:rsidR="006677B0" w:rsidRPr="006677B0">
        <w:rPr>
          <w:rFonts w:cs="Times New Roman"/>
          <w:szCs w:val="24"/>
        </w:rPr>
        <w:t xml:space="preserve"> </w:t>
      </w:r>
      <w:r w:rsidR="00FE734E" w:rsidRPr="00FE734E">
        <w:rPr>
          <w:rFonts w:cs="Times New Roman"/>
          <w:szCs w:val="24"/>
        </w:rPr>
        <w:t>Совокупное внутреннее материальное потребление и внутреннее материальное потребление на душу населения и в процентном отношении к ВВП.</w:t>
      </w:r>
    </w:p>
    <w:p w14:paraId="7E59C805" w14:textId="77777777"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14:paraId="7799A69F" w14:textId="77777777" w:rsidR="006B62E7" w:rsidRPr="00CE538E" w:rsidRDefault="006B62E7" w:rsidP="006B62E7">
      <w:pPr>
        <w:pStyle w:val="a0"/>
        <w:spacing w:line="276" w:lineRule="auto"/>
        <w:rPr>
          <w:lang w:eastAsia="ru-RU"/>
        </w:rPr>
      </w:pPr>
      <w:r w:rsidRPr="00FE734E">
        <w:rPr>
          <w:rFonts w:cs="Times New Roman"/>
          <w:szCs w:val="24"/>
        </w:rPr>
        <w:t>Совокупное внутреннее материальное потребление</w:t>
      </w:r>
      <w:r w:rsidRPr="00CE538E">
        <w:rPr>
          <w:lang w:eastAsia="ru-RU"/>
        </w:rPr>
        <w:t xml:space="preserve"> </w:t>
      </w:r>
      <w:r>
        <w:rPr>
          <w:lang w:eastAsia="ru-RU"/>
        </w:rPr>
        <w:t>по типу сырья</w:t>
      </w:r>
      <w:r w:rsidRPr="00CE538E">
        <w:rPr>
          <w:lang w:eastAsia="ru-RU"/>
        </w:rPr>
        <w:t xml:space="preserve"> (</w:t>
      </w:r>
      <w:r>
        <w:rPr>
          <w:lang w:eastAsia="ru-RU"/>
        </w:rPr>
        <w:t>тонны</w:t>
      </w:r>
      <w:r w:rsidRPr="00CE538E">
        <w:rPr>
          <w:lang w:eastAsia="ru-RU"/>
        </w:rPr>
        <w:t>)</w:t>
      </w:r>
    </w:p>
    <w:p w14:paraId="5C9A1DEB" w14:textId="77777777" w:rsidR="006B62E7" w:rsidRDefault="006B62E7" w:rsidP="006B62E7">
      <w:pPr>
        <w:pStyle w:val="a0"/>
        <w:spacing w:line="276" w:lineRule="auto"/>
        <w:rPr>
          <w:lang w:eastAsia="ru-RU"/>
        </w:rPr>
      </w:pPr>
      <w:r>
        <w:rPr>
          <w:rFonts w:cs="Times New Roman"/>
          <w:szCs w:val="24"/>
        </w:rPr>
        <w:t>В</w:t>
      </w:r>
      <w:r w:rsidRPr="00FE734E">
        <w:rPr>
          <w:rFonts w:cs="Times New Roman"/>
          <w:szCs w:val="24"/>
        </w:rPr>
        <w:t xml:space="preserve">нутреннее материальное потребление </w:t>
      </w:r>
      <w:r>
        <w:rPr>
          <w:rFonts w:cs="Times New Roman"/>
          <w:szCs w:val="24"/>
        </w:rPr>
        <w:t xml:space="preserve">в процентном отношении к ВВП </w:t>
      </w:r>
      <w:r>
        <w:rPr>
          <w:lang w:eastAsia="ru-RU"/>
        </w:rPr>
        <w:t>по типу сырья</w:t>
      </w:r>
      <w:r w:rsidRPr="00B029F6">
        <w:rPr>
          <w:lang w:eastAsia="ru-RU"/>
        </w:rPr>
        <w:t xml:space="preserve"> (</w:t>
      </w:r>
      <w:r>
        <w:rPr>
          <w:lang w:eastAsia="ru-RU"/>
        </w:rPr>
        <w:t>килограммы в долларах США в постоянных ценах 2015 года)</w:t>
      </w:r>
    </w:p>
    <w:p w14:paraId="555B6A44" w14:textId="3D5E1C95" w:rsidR="002540B1" w:rsidRPr="002540B1" w:rsidRDefault="006B62E7" w:rsidP="006B62E7">
      <w:pPr>
        <w:pStyle w:val="a0"/>
        <w:spacing w:line="276" w:lineRule="auto"/>
        <w:rPr>
          <w:lang w:eastAsia="ru-RU"/>
        </w:rPr>
      </w:pPr>
      <w:r>
        <w:rPr>
          <w:rFonts w:cs="Times New Roman"/>
          <w:szCs w:val="24"/>
        </w:rPr>
        <w:t>В</w:t>
      </w:r>
      <w:r w:rsidRPr="00FE734E">
        <w:rPr>
          <w:rFonts w:cs="Times New Roman"/>
          <w:szCs w:val="24"/>
        </w:rPr>
        <w:t>нутреннее материальное потребление на душу населения</w:t>
      </w:r>
      <w:r>
        <w:rPr>
          <w:rFonts w:cs="Times New Roman"/>
          <w:szCs w:val="24"/>
        </w:rPr>
        <w:t xml:space="preserve"> </w:t>
      </w:r>
      <w:r w:rsidRPr="00B029F6">
        <w:rPr>
          <w:rFonts w:cs="Times New Roman"/>
          <w:szCs w:val="24"/>
        </w:rPr>
        <w:t>по типу сырья (тонны)</w:t>
      </w:r>
      <w:r w:rsidRPr="002F48D9">
        <w:rPr>
          <w:rFonts w:cs="Times New Roman"/>
          <w:szCs w:val="24"/>
        </w:rPr>
        <w:t>.</w:t>
      </w:r>
    </w:p>
    <w:p w14:paraId="2F0895AF" w14:textId="77777777"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14:paraId="77633263" w14:textId="22715C29" w:rsidR="00C8596F" w:rsidRPr="00566ADC" w:rsidRDefault="00F85830"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566ADC">
        <w:rPr>
          <w:rFonts w:eastAsia="Arial Unicode MS" w:cs="Times New Roman"/>
          <w:szCs w:val="24"/>
          <w:bdr w:val="nil"/>
          <w:lang w:eastAsia="ru-RU"/>
        </w:rPr>
        <w:t>12</w:t>
      </w:r>
      <w:r w:rsidR="001F2B04" w:rsidRPr="00FE734E">
        <w:rPr>
          <w:rFonts w:eastAsia="Arial Unicode MS" w:cs="Times New Roman"/>
          <w:szCs w:val="24"/>
          <w:bdr w:val="nil"/>
          <w:lang w:eastAsia="ru-RU"/>
        </w:rPr>
        <w:t xml:space="preserve"> </w:t>
      </w:r>
      <w:r w:rsidR="00AF6A35">
        <w:rPr>
          <w:rFonts w:eastAsia="Arial Unicode MS" w:cs="Times New Roman"/>
          <w:szCs w:val="24"/>
          <w:bdr w:val="nil"/>
          <w:lang w:eastAsia="ru-RU"/>
        </w:rPr>
        <w:t>а</w:t>
      </w:r>
      <w:r>
        <w:rPr>
          <w:rFonts w:eastAsia="Arial Unicode MS" w:cs="Times New Roman"/>
          <w:szCs w:val="24"/>
          <w:bdr w:val="nil"/>
          <w:lang w:eastAsia="ru-RU"/>
        </w:rPr>
        <w:t>вгуста</w:t>
      </w:r>
      <w:r w:rsidR="008501F4">
        <w:rPr>
          <w:rFonts w:eastAsia="Arial Unicode MS" w:cs="Times New Roman"/>
          <w:szCs w:val="24"/>
          <w:bdr w:val="nil"/>
          <w:lang w:eastAsia="ru-RU"/>
        </w:rPr>
        <w:t xml:space="preserve"> 202</w:t>
      </w:r>
      <w:r w:rsidRPr="00566ADC">
        <w:rPr>
          <w:rFonts w:eastAsia="Arial Unicode MS" w:cs="Times New Roman"/>
          <w:szCs w:val="24"/>
          <w:bdr w:val="nil"/>
          <w:lang w:eastAsia="ru-RU"/>
        </w:rPr>
        <w:t>2</w:t>
      </w:r>
    </w:p>
    <w:p w14:paraId="3390FBAC" w14:textId="77777777"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14:paraId="5C13CB20" w14:textId="485A356A" w:rsidR="002540B1" w:rsidRDefault="00821982" w:rsidP="00A343D5">
      <w:pPr>
        <w:pBdr>
          <w:top w:val="nil"/>
          <w:left w:val="nil"/>
          <w:bottom w:val="nil"/>
          <w:right w:val="nil"/>
          <w:between w:val="nil"/>
          <w:bar w:val="nil"/>
        </w:pBdr>
        <w:tabs>
          <w:tab w:val="left" w:pos="284"/>
        </w:tabs>
        <w:spacing w:after="0"/>
        <w:rPr>
          <w:lang w:eastAsia="ru-RU"/>
        </w:rPr>
      </w:pPr>
      <w:r w:rsidRPr="00821982">
        <w:rPr>
          <w:lang w:eastAsia="ru-RU"/>
        </w:rPr>
        <w:t>8.4.1, 12.2.1, 12.2.2</w:t>
      </w:r>
    </w:p>
    <w:p w14:paraId="7E647C10" w14:textId="77777777"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14:paraId="6FF87229" w14:textId="77777777" w:rsidR="001F2B04" w:rsidRDefault="001F2B04" w:rsidP="001F2B04">
      <w:pPr>
        <w:spacing w:after="200"/>
        <w:rPr>
          <w:rFonts w:cs="Times New Roman"/>
          <w:szCs w:val="24"/>
        </w:rPr>
      </w:pPr>
      <w:bookmarkStart w:id="1" w:name="_Toc37932744"/>
      <w:bookmarkStart w:id="2" w:name="_Toc36813072"/>
      <w:bookmarkStart w:id="3" w:name="_Toc36812685"/>
      <w:bookmarkStart w:id="4" w:name="_Toc36812572"/>
      <w:bookmarkStart w:id="5" w:name="_Toc36655609"/>
      <w:r>
        <w:rPr>
          <w:rFonts w:cs="Times New Roman"/>
          <w:szCs w:val="24"/>
        </w:rPr>
        <w:t>П</w:t>
      </w:r>
      <w:r w:rsidRPr="0044522E">
        <w:rPr>
          <w:rFonts w:cs="Times New Roman"/>
          <w:szCs w:val="24"/>
        </w:rPr>
        <w:t>рограмма Организации Объединенных Наций по окружающей среде (ЮНЕП)</w:t>
      </w:r>
    </w:p>
    <w:p w14:paraId="294094F1" w14:textId="77777777"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14:paraId="2D9EB9BE" w14:textId="77777777" w:rsidR="00162B33" w:rsidRPr="00162B33" w:rsidRDefault="00957A62" w:rsidP="00162B33">
      <w:r w:rsidRPr="00162B33">
        <w:t>1.a. Организация</w:t>
      </w:r>
    </w:p>
    <w:p w14:paraId="3D487FD8" w14:textId="77777777" w:rsidR="001F2B04" w:rsidRDefault="001F2B04" w:rsidP="001F2B04">
      <w:pPr>
        <w:spacing w:after="200"/>
        <w:rPr>
          <w:rFonts w:cs="Times New Roman"/>
          <w:szCs w:val="24"/>
        </w:rPr>
      </w:pPr>
      <w:r>
        <w:rPr>
          <w:rFonts w:cs="Times New Roman"/>
          <w:szCs w:val="24"/>
        </w:rPr>
        <w:t>П</w:t>
      </w:r>
      <w:r w:rsidRPr="0044522E">
        <w:rPr>
          <w:rFonts w:cs="Times New Roman"/>
          <w:szCs w:val="24"/>
        </w:rPr>
        <w:t>рограмма Организации Объединенных Наций по окружающей среде (ЮНЕП)</w:t>
      </w:r>
    </w:p>
    <w:p w14:paraId="215D68CC" w14:textId="77777777"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14:paraId="178A2018" w14:textId="77777777"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14:paraId="28FE0539" w14:textId="77777777" w:rsidR="008A3A19" w:rsidRPr="001A0336" w:rsidRDefault="008A3A19" w:rsidP="006677B0">
      <w:pPr>
        <w:pStyle w:val="a0"/>
        <w:spacing w:after="200" w:line="276" w:lineRule="auto"/>
        <w:rPr>
          <w:rFonts w:cs="Times New Roman"/>
          <w:b/>
          <w:szCs w:val="24"/>
        </w:rPr>
      </w:pPr>
      <w:r w:rsidRPr="008A3A19">
        <w:rPr>
          <w:rFonts w:cs="Times New Roman"/>
          <w:b/>
          <w:szCs w:val="24"/>
        </w:rPr>
        <w:t>Определени</w:t>
      </w:r>
      <w:r w:rsidR="001A0336">
        <w:rPr>
          <w:rFonts w:cs="Times New Roman"/>
          <w:b/>
          <w:szCs w:val="24"/>
        </w:rPr>
        <w:t>е</w:t>
      </w:r>
    </w:p>
    <w:p w14:paraId="23A87A6D" w14:textId="77777777" w:rsidR="00AF6A35" w:rsidRDefault="00AF6A35" w:rsidP="00AF6A35">
      <w:pPr>
        <w:spacing w:after="200"/>
        <w:rPr>
          <w:rFonts w:cs="Times New Roman"/>
          <w:szCs w:val="24"/>
        </w:rPr>
      </w:pPr>
      <w:r w:rsidRPr="00FE734E">
        <w:rPr>
          <w:rFonts w:cs="Times New Roman"/>
          <w:szCs w:val="24"/>
        </w:rPr>
        <w:t>Совокупное внутреннее материальное потребление (</w:t>
      </w:r>
      <w:r>
        <w:rPr>
          <w:rFonts w:cs="Times New Roman"/>
          <w:szCs w:val="24"/>
          <w:lang w:val="en-US"/>
        </w:rPr>
        <w:t>DMC</w:t>
      </w:r>
      <w:r w:rsidRPr="00FE734E">
        <w:rPr>
          <w:rFonts w:cs="Times New Roman"/>
          <w:szCs w:val="24"/>
        </w:rPr>
        <w:t xml:space="preserve">) является стандартным индикатором учета </w:t>
      </w:r>
      <w:r>
        <w:rPr>
          <w:rFonts w:cs="Times New Roman"/>
          <w:szCs w:val="24"/>
        </w:rPr>
        <w:t>материального потока</w:t>
      </w:r>
      <w:r w:rsidRPr="00FE734E">
        <w:rPr>
          <w:rFonts w:cs="Times New Roman"/>
          <w:szCs w:val="24"/>
        </w:rPr>
        <w:t xml:space="preserve"> (</w:t>
      </w:r>
      <w:r>
        <w:rPr>
          <w:rFonts w:cs="Times New Roman"/>
          <w:szCs w:val="24"/>
          <w:lang w:val="en-US"/>
        </w:rPr>
        <w:t>MFA</w:t>
      </w:r>
      <w:r>
        <w:rPr>
          <w:rFonts w:cs="Times New Roman"/>
          <w:szCs w:val="24"/>
        </w:rPr>
        <w:t xml:space="preserve">) и сообщает о </w:t>
      </w:r>
      <w:r w:rsidRPr="00FE734E">
        <w:rPr>
          <w:rFonts w:cs="Times New Roman"/>
          <w:szCs w:val="24"/>
        </w:rPr>
        <w:t>вид</w:t>
      </w:r>
      <w:r>
        <w:rPr>
          <w:rFonts w:cs="Times New Roman"/>
          <w:szCs w:val="24"/>
        </w:rPr>
        <w:t>имом</w:t>
      </w:r>
      <w:r w:rsidRPr="00FE734E">
        <w:rPr>
          <w:rFonts w:cs="Times New Roman"/>
          <w:szCs w:val="24"/>
        </w:rPr>
        <w:t xml:space="preserve"> потреблении мате</w:t>
      </w:r>
      <w:r>
        <w:rPr>
          <w:rFonts w:cs="Times New Roman"/>
          <w:szCs w:val="24"/>
        </w:rPr>
        <w:t>риалов в национальной экономике</w:t>
      </w:r>
      <w:r w:rsidRPr="0044522E">
        <w:rPr>
          <w:rFonts w:cs="Times New Roman"/>
          <w:szCs w:val="24"/>
        </w:rPr>
        <w:t>.</w:t>
      </w:r>
    </w:p>
    <w:p w14:paraId="116D7826" w14:textId="77777777" w:rsidR="00AF6A35" w:rsidRPr="00566ADC" w:rsidRDefault="00AF6A35" w:rsidP="00AF6A35">
      <w:pPr>
        <w:pStyle w:val="a0"/>
      </w:pPr>
      <w:proofErr w:type="gramStart"/>
      <w:r>
        <w:rPr>
          <w:rFonts w:cs="Times New Roman"/>
          <w:szCs w:val="24"/>
          <w:lang w:val="en-US"/>
        </w:rPr>
        <w:t>DMC</w:t>
      </w:r>
      <w:r w:rsidRPr="00566ADC">
        <w:t xml:space="preserve"> измеряет общее количество материала (биомасс</w:t>
      </w:r>
      <w:r>
        <w:t>а</w:t>
      </w:r>
      <w:r w:rsidRPr="00566ADC">
        <w:t>, ископаемо</w:t>
      </w:r>
      <w:r>
        <w:t>е</w:t>
      </w:r>
      <w:r w:rsidRPr="00566ADC">
        <w:t xml:space="preserve"> топлив</w:t>
      </w:r>
      <w:r>
        <w:t>о</w:t>
      </w:r>
      <w:r w:rsidRPr="00566ADC">
        <w:t>, металлически</w:t>
      </w:r>
      <w:r>
        <w:t>е</w:t>
      </w:r>
      <w:r w:rsidRPr="00566ADC">
        <w:t xml:space="preserve"> руд</w:t>
      </w:r>
      <w:r>
        <w:t>ы</w:t>
      </w:r>
      <w:r w:rsidRPr="00566ADC">
        <w:t xml:space="preserve"> и неметаллически</w:t>
      </w:r>
      <w:r>
        <w:t>е</w:t>
      </w:r>
      <w:r w:rsidRPr="00566ADC">
        <w:t xml:space="preserve"> минерал</w:t>
      </w:r>
      <w:r>
        <w:t>ы</w:t>
      </w:r>
      <w:r w:rsidRPr="00566ADC">
        <w:t>), непосредственно используемого в экономике, и основывается на учетах прямых материальных потоков, т. е. внутренней добычи материала и физического импорта и экспорта.</w:t>
      </w:r>
      <w:proofErr w:type="gramEnd"/>
    </w:p>
    <w:p w14:paraId="2FA70766" w14:textId="77777777" w:rsidR="00AF6A35" w:rsidRPr="007B0133" w:rsidRDefault="00AF6A35" w:rsidP="00AF6A35">
      <w:pPr>
        <w:pStyle w:val="a0"/>
      </w:pPr>
    </w:p>
    <w:p w14:paraId="35D3935F" w14:textId="77777777" w:rsidR="00AF6A35" w:rsidRPr="00F17015" w:rsidRDefault="00AF6A35" w:rsidP="00AF6A35">
      <w:pPr>
        <w:rPr>
          <w:b/>
        </w:rPr>
      </w:pPr>
      <w:r w:rsidRPr="00F17015">
        <w:rPr>
          <w:b/>
        </w:rPr>
        <w:t>Основные понятия</w:t>
      </w:r>
    </w:p>
    <w:p w14:paraId="10C969A6" w14:textId="77777777" w:rsidR="00AF6A35" w:rsidRDefault="00AF6A35" w:rsidP="00AF6A35">
      <w:pPr>
        <w:spacing w:after="120" w:line="240" w:lineRule="auto"/>
        <w:rPr>
          <w:rFonts w:eastAsia="Times New Roman" w:cs="Times New Roman"/>
          <w:color w:val="000000"/>
          <w:szCs w:val="24"/>
          <w:lang w:eastAsia="ru-RU"/>
        </w:rPr>
      </w:pPr>
      <w:r>
        <w:rPr>
          <w:rFonts w:cs="Times New Roman"/>
          <w:szCs w:val="24"/>
        </w:rPr>
        <w:t>Совокупное внутреннее материальное потребление (</w:t>
      </w:r>
      <w:r>
        <w:rPr>
          <w:rFonts w:cs="Times New Roman"/>
          <w:szCs w:val="24"/>
          <w:lang w:val="en-US"/>
        </w:rPr>
        <w:t>DMC</w:t>
      </w:r>
      <w:r>
        <w:rPr>
          <w:rFonts w:cs="Times New Roman"/>
          <w:szCs w:val="24"/>
        </w:rPr>
        <w:t>) и совокупные ресурсозатраты (</w:t>
      </w:r>
      <w:r>
        <w:rPr>
          <w:rFonts w:cs="Times New Roman"/>
          <w:szCs w:val="24"/>
          <w:lang w:val="en-US"/>
        </w:rPr>
        <w:t>MF</w:t>
      </w:r>
      <w:r>
        <w:rPr>
          <w:rFonts w:cs="Times New Roman"/>
          <w:szCs w:val="24"/>
        </w:rPr>
        <w:t xml:space="preserve">) необходимо рассматривать в комбинации, поскольку они охватывают два аспекта экономики, производства и потребления. </w:t>
      </w:r>
      <w:proofErr w:type="gramStart"/>
      <w:r>
        <w:rPr>
          <w:rFonts w:cs="Times New Roman"/>
          <w:szCs w:val="24"/>
          <w:lang w:val="en-US"/>
        </w:rPr>
        <w:t>DMC</w:t>
      </w:r>
      <w:r>
        <w:rPr>
          <w:rFonts w:cs="Times New Roman"/>
          <w:szCs w:val="24"/>
        </w:rPr>
        <w:t xml:space="preserve"> сообщает о фактическом количестве </w:t>
      </w:r>
      <w:r>
        <w:rPr>
          <w:rFonts w:cs="Times New Roman"/>
          <w:szCs w:val="24"/>
        </w:rPr>
        <w:lastRenderedPageBreak/>
        <w:t xml:space="preserve">материалов в экономике, </w:t>
      </w:r>
      <w:r>
        <w:rPr>
          <w:rFonts w:cs="Times New Roman"/>
          <w:szCs w:val="24"/>
          <w:lang w:val="en-US"/>
        </w:rPr>
        <w:t>MF</w:t>
      </w:r>
      <w:r>
        <w:rPr>
          <w:rFonts w:cs="Times New Roman"/>
          <w:szCs w:val="24"/>
        </w:rPr>
        <w:t xml:space="preserve"> – виртуальная сумма, необходимая для всей цепочки поставок, для обслуживания окончательного спроса.</w:t>
      </w:r>
      <w:proofErr w:type="gramEnd"/>
      <w:r>
        <w:rPr>
          <w:rFonts w:cs="Times New Roman"/>
          <w:szCs w:val="24"/>
        </w:rPr>
        <w:t xml:space="preserve"> Страна может, например, иметь очень высокий DMC, поскольку она имеет большое первичное производство в секторе экспорта или очень низкий уровень DMC, поскольку она передала на внешний подряд в другие страны большую часть производственного процесса. </w:t>
      </w:r>
      <w:proofErr w:type="gramStart"/>
      <w:r>
        <w:rPr>
          <w:rFonts w:cs="Times New Roman"/>
          <w:szCs w:val="24"/>
        </w:rPr>
        <w:t>Совокупные</w:t>
      </w:r>
      <w:proofErr w:type="gramEnd"/>
      <w:r>
        <w:rPr>
          <w:rFonts w:cs="Times New Roman"/>
          <w:szCs w:val="24"/>
        </w:rPr>
        <w:t xml:space="preserve"> ресурсозатраты корректируются для обоих явлений.</w:t>
      </w:r>
      <w:r>
        <w:rPr>
          <w:rFonts w:eastAsia="Times New Roman" w:cs="Times New Roman"/>
          <w:color w:val="000000"/>
          <w:szCs w:val="24"/>
          <w:lang w:eastAsia="ru-RU"/>
        </w:rPr>
        <w:t xml:space="preserve"> </w:t>
      </w:r>
    </w:p>
    <w:p w14:paraId="19E6B962"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14:paraId="4362A14B" w14:textId="77777777" w:rsidR="00AF6A35" w:rsidRPr="00C9679B" w:rsidRDefault="00AF6A35" w:rsidP="00AF6A35">
      <w:r w:rsidRPr="00C9679B">
        <w:t>Тонны</w:t>
      </w:r>
      <w:r>
        <w:t>;</w:t>
      </w:r>
    </w:p>
    <w:p w14:paraId="39D29908" w14:textId="77777777" w:rsidR="00AF6A35" w:rsidRPr="00C9679B" w:rsidRDefault="00AF6A35" w:rsidP="00AF6A35">
      <w:r>
        <w:t>К</w:t>
      </w:r>
      <w:r w:rsidRPr="00C9679B">
        <w:t>илограмм</w:t>
      </w:r>
      <w:r>
        <w:t>ы</w:t>
      </w:r>
      <w:r w:rsidRPr="00C9679B">
        <w:t xml:space="preserve"> на доллар США</w:t>
      </w:r>
      <w:r w:rsidRPr="008753A0">
        <w:t xml:space="preserve"> </w:t>
      </w:r>
      <w:r>
        <w:t xml:space="preserve">в </w:t>
      </w:r>
      <w:r w:rsidRPr="00C9679B">
        <w:t>постоянны</w:t>
      </w:r>
      <w:r>
        <w:t>х ценах;</w:t>
      </w:r>
    </w:p>
    <w:p w14:paraId="5F459920" w14:textId="77777777" w:rsidR="00AF6A35" w:rsidRDefault="00AF6A35" w:rsidP="00AF6A35">
      <w:r w:rsidRPr="00C9679B">
        <w:t>Тонн</w:t>
      </w:r>
      <w:r>
        <w:t>ы</w:t>
      </w:r>
      <w:r w:rsidRPr="00C9679B">
        <w:t xml:space="preserve"> на душу населения</w:t>
      </w:r>
      <w:r>
        <w:t>.</w:t>
      </w:r>
    </w:p>
    <w:p w14:paraId="0C105CEF"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14:paraId="6AC9FD69" w14:textId="77777777" w:rsidR="00AF6A35" w:rsidRPr="008B4CEC" w:rsidRDefault="00AF6A35" w:rsidP="00AF6A35">
      <w:pPr>
        <w:pStyle w:val="MHeader"/>
        <w:numPr>
          <w:ilvl w:val="0"/>
          <w:numId w:val="7"/>
        </w:numPr>
        <w:rPr>
          <w:bCs/>
          <w:color w:val="auto"/>
          <w:sz w:val="24"/>
          <w:szCs w:val="24"/>
          <w:lang w:val="ru-RU"/>
        </w:rPr>
      </w:pPr>
      <w:r w:rsidRPr="00607B27">
        <w:rPr>
          <w:bCs/>
          <w:color w:val="auto"/>
          <w:sz w:val="24"/>
          <w:szCs w:val="24"/>
          <w:lang w:val="ru-RU"/>
        </w:rPr>
        <w:t>Категории материалов в соответствии с глобальным руководством EW-MFA «</w:t>
      </w:r>
      <w:r>
        <w:rPr>
          <w:bCs/>
          <w:color w:val="auto"/>
          <w:sz w:val="24"/>
          <w:szCs w:val="24"/>
          <w:lang w:val="ru-RU"/>
        </w:rPr>
        <w:t>ЮНЕП</w:t>
      </w:r>
      <w:r w:rsidRPr="00607B27">
        <w:rPr>
          <w:bCs/>
          <w:color w:val="auto"/>
          <w:sz w:val="24"/>
          <w:szCs w:val="24"/>
          <w:lang w:val="ru-RU"/>
        </w:rPr>
        <w:t xml:space="preserve"> (2021). Использование природных ресурсов в экономике: глобальное руководство по учету материальных потоков в масштабах всей экономики». (</w:t>
      </w:r>
      <w:hyperlink r:id="rId9" w:history="1">
        <w:r w:rsidRPr="001270A4">
          <w:rPr>
            <w:rStyle w:val="ad"/>
            <w:bCs/>
            <w:sz w:val="24"/>
            <w:szCs w:val="24"/>
            <w:lang w:val="ru-RU"/>
          </w:rPr>
          <w:t>https://wedocs.unep.org/bitstream/handle/20.500.11822/36253/UNRE.pdf?sequence=3&amp;isAllowed=y</w:t>
        </w:r>
      </w:hyperlink>
      <w:r>
        <w:rPr>
          <w:bCs/>
          <w:color w:val="auto"/>
          <w:sz w:val="24"/>
          <w:szCs w:val="24"/>
          <w:lang w:val="ru-RU"/>
        </w:rPr>
        <w:t>);</w:t>
      </w:r>
    </w:p>
    <w:p w14:paraId="620B9503" w14:textId="77777777" w:rsidR="00AF6A35" w:rsidRPr="000A3A98" w:rsidRDefault="00AF6A35" w:rsidP="00AF6A35">
      <w:pPr>
        <w:pStyle w:val="MHeader"/>
        <w:numPr>
          <w:ilvl w:val="0"/>
          <w:numId w:val="7"/>
        </w:numPr>
        <w:rPr>
          <w:bCs/>
          <w:color w:val="auto"/>
          <w:sz w:val="24"/>
          <w:szCs w:val="24"/>
          <w:lang w:val="ru-RU"/>
        </w:rPr>
      </w:pPr>
      <w:r w:rsidRPr="00607B27">
        <w:rPr>
          <w:bCs/>
          <w:color w:val="auto"/>
          <w:sz w:val="24"/>
          <w:szCs w:val="24"/>
          <w:lang w:val="ru-RU"/>
        </w:rPr>
        <w:t>Стандартные коды стран или регионов для статистического использования (классификация стран и регионов ООН M49)</w:t>
      </w:r>
      <w:r>
        <w:rPr>
          <w:bCs/>
          <w:color w:val="auto"/>
          <w:sz w:val="24"/>
          <w:szCs w:val="24"/>
          <w:lang w:val="ru-RU"/>
        </w:rPr>
        <w:t>.</w:t>
      </w:r>
    </w:p>
    <w:p w14:paraId="71607545" w14:textId="77777777" w:rsidR="00AF6A35" w:rsidRPr="00A343D5" w:rsidRDefault="00AF6A35" w:rsidP="00AF6A3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14:paraId="1C7FC876"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14:paraId="6D3A1C06" w14:textId="77777777" w:rsidR="00AF6A35" w:rsidRPr="003B38A2" w:rsidRDefault="00AF6A35" w:rsidP="00AF6A35">
      <w:pPr>
        <w:pStyle w:val="a0"/>
      </w:pPr>
      <w:r w:rsidRPr="003B38A2">
        <w:t xml:space="preserve">Глобальная оценка </w:t>
      </w:r>
      <w:r>
        <w:rPr>
          <w:rFonts w:cs="Times New Roman"/>
          <w:szCs w:val="24"/>
        </w:rPr>
        <w:t>DMC</w:t>
      </w:r>
      <w:r w:rsidRPr="003B38A2">
        <w:t xml:space="preserve"> основана на данных, доступных из различных национальных и международных наборов данных в области статистики сельского хозяйства, лесного хозяйства, рыболовства, горнодобывающей промышленности и энергетики. Международные статистические источники для </w:t>
      </w:r>
      <w:r>
        <w:rPr>
          <w:rFonts w:cs="Times New Roman"/>
          <w:szCs w:val="24"/>
        </w:rPr>
        <w:t>DMC</w:t>
      </w:r>
      <w:r w:rsidRPr="003B38A2">
        <w:t xml:space="preserve"> включают Международное энергетическое агентство, Статистический отдел Организации Объединенных Наций, Геологическую службу Соединенных Штатов, Продовольственную и сельскохозяйственную организацию и </w:t>
      </w:r>
      <w:r>
        <w:t>Б</w:t>
      </w:r>
      <w:r w:rsidRPr="003B38A2">
        <w:t>аз</w:t>
      </w:r>
      <w:r>
        <w:t>у</w:t>
      </w:r>
      <w:r w:rsidRPr="003B38A2">
        <w:t xml:space="preserve"> данных</w:t>
      </w:r>
      <w:r>
        <w:t xml:space="preserve"> </w:t>
      </w:r>
      <w:r w:rsidRPr="00947462">
        <w:t>статистики международной торговли Организации Объединенных Наций.</w:t>
      </w:r>
    </w:p>
    <w:p w14:paraId="6952051E" w14:textId="77777777" w:rsidR="00AF6A35" w:rsidRPr="00D22524"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14:paraId="0A9B4251" w14:textId="77777777" w:rsidR="00AF6A35" w:rsidRDefault="00AF6A35" w:rsidP="00AF6A35">
      <w:pPr>
        <w:rPr>
          <w:szCs w:val="24"/>
        </w:rPr>
      </w:pPr>
      <w:r w:rsidRPr="00D22524">
        <w:rPr>
          <w:szCs w:val="24"/>
        </w:rPr>
        <w:t>Для глобальной оценки рабочая группа «Глобальные потоки материалов и производительность ресурсов» Международной ресурсной группы (</w:t>
      </w:r>
      <w:r w:rsidRPr="00D22524">
        <w:rPr>
          <w:szCs w:val="24"/>
          <w:lang w:val="en-US"/>
        </w:rPr>
        <w:t>IRP</w:t>
      </w:r>
      <w:r w:rsidRPr="00D22524">
        <w:rPr>
          <w:szCs w:val="24"/>
        </w:rPr>
        <w:t>) получает данные из национальных и международных баз данных. В то же время показатели, предоставленные странами, собираются с помощью «Вопросника по учету материальных потоков в масштабах всей экономики» для показателей ЦУР 8.4.1/12.2.1 и 8.4.2/12.2.2.</w:t>
      </w:r>
    </w:p>
    <w:p w14:paraId="014BDEEB" w14:textId="77777777" w:rsidR="00AF6A35" w:rsidRPr="00D22524" w:rsidRDefault="00AF6A35" w:rsidP="00AF6A35">
      <w:pPr>
        <w:pStyle w:val="MHeader2"/>
        <w:spacing w:line="276" w:lineRule="auto"/>
        <w:rPr>
          <w:b/>
          <w:color w:val="auto"/>
          <w:sz w:val="24"/>
          <w:szCs w:val="24"/>
          <w:lang w:val="ru-RU"/>
        </w:rPr>
      </w:pPr>
      <w:r w:rsidRPr="00A343D5">
        <w:rPr>
          <w:color w:val="auto"/>
          <w:sz w:val="24"/>
          <w:szCs w:val="24"/>
          <w:lang w:val="ru-RU"/>
        </w:rPr>
        <w:t>3.</w:t>
      </w:r>
      <w:r>
        <w:rPr>
          <w:color w:val="auto"/>
          <w:sz w:val="24"/>
          <w:szCs w:val="24"/>
          <w:lang w:val="ru-RU"/>
        </w:rPr>
        <w:t>с</w:t>
      </w:r>
      <w:r w:rsidRPr="00A343D5">
        <w:rPr>
          <w:color w:val="auto"/>
          <w:sz w:val="24"/>
          <w:szCs w:val="24"/>
          <w:lang w:val="ru-RU"/>
        </w:rPr>
        <w:t xml:space="preserve">. </w:t>
      </w:r>
      <w:r w:rsidRPr="00641523">
        <w:rPr>
          <w:b/>
          <w:color w:val="auto"/>
          <w:sz w:val="24"/>
          <w:szCs w:val="24"/>
          <w:lang w:val="ru-RU"/>
        </w:rPr>
        <w:t>Календарь сбора данных</w:t>
      </w:r>
    </w:p>
    <w:p w14:paraId="56B38768" w14:textId="77777777" w:rsidR="00AF6A35" w:rsidRDefault="00AF6A35" w:rsidP="00AF6A35">
      <w:r w:rsidRPr="00641523">
        <w:t>Первый сбо</w:t>
      </w:r>
      <w:r>
        <w:t>р данных в 2022 году и каждые 2-</w:t>
      </w:r>
      <w:r w:rsidRPr="00641523">
        <w:t>3 года после этого.</w:t>
      </w:r>
    </w:p>
    <w:p w14:paraId="405E76CD" w14:textId="77777777" w:rsidR="00AF6A35" w:rsidRPr="007A390B" w:rsidRDefault="00AF6A35" w:rsidP="00AF6A35">
      <w:pPr>
        <w:pStyle w:val="MHeader2"/>
        <w:spacing w:line="276" w:lineRule="auto"/>
        <w:rPr>
          <w:color w:val="auto"/>
          <w:sz w:val="24"/>
          <w:szCs w:val="24"/>
          <w:lang w:val="ru-RU"/>
        </w:rPr>
      </w:pPr>
      <w:r w:rsidRPr="00A343D5">
        <w:rPr>
          <w:color w:val="auto"/>
          <w:sz w:val="24"/>
          <w:szCs w:val="24"/>
          <w:lang w:val="ru-RU"/>
        </w:rPr>
        <w:t>3.</w:t>
      </w:r>
      <w:r>
        <w:rPr>
          <w:color w:val="auto"/>
          <w:sz w:val="24"/>
          <w:szCs w:val="24"/>
        </w:rPr>
        <w:t>d</w:t>
      </w:r>
      <w:r w:rsidRPr="00A343D5">
        <w:rPr>
          <w:color w:val="auto"/>
          <w:sz w:val="24"/>
          <w:szCs w:val="24"/>
          <w:lang w:val="ru-RU"/>
        </w:rPr>
        <w:t xml:space="preserve">. </w:t>
      </w:r>
      <w:r>
        <w:rPr>
          <w:b/>
          <w:color w:val="auto"/>
          <w:sz w:val="24"/>
          <w:szCs w:val="24"/>
          <w:lang w:val="ru-RU"/>
        </w:rPr>
        <w:t>Календарь выпуска данных</w:t>
      </w:r>
    </w:p>
    <w:p w14:paraId="0300697F" w14:textId="77777777" w:rsidR="00AF6A35" w:rsidRDefault="00AF6A35" w:rsidP="00AF6A35">
      <w:pPr>
        <w:pStyle w:val="MHeader2"/>
        <w:spacing w:line="276" w:lineRule="auto"/>
        <w:rPr>
          <w:color w:val="auto"/>
          <w:sz w:val="24"/>
          <w:szCs w:val="24"/>
          <w:lang w:val="ru-RU"/>
        </w:rPr>
      </w:pPr>
      <w:r w:rsidRPr="002842B1">
        <w:rPr>
          <w:rFonts w:eastAsiaTheme="minorHAnsi" w:cstheme="minorBidi"/>
          <w:color w:val="auto"/>
          <w:sz w:val="24"/>
          <w:szCs w:val="22"/>
          <w:lang w:val="ru-RU" w:eastAsia="en-US"/>
        </w:rPr>
        <w:t>Первый выпуск данных состо</w:t>
      </w:r>
      <w:r>
        <w:rPr>
          <w:rFonts w:eastAsiaTheme="minorHAnsi" w:cstheme="minorBidi"/>
          <w:color w:val="auto"/>
          <w:sz w:val="24"/>
          <w:szCs w:val="22"/>
          <w:lang w:val="ru-RU" w:eastAsia="en-US"/>
        </w:rPr>
        <w:t>ял</w:t>
      </w:r>
      <w:r w:rsidRPr="002842B1">
        <w:rPr>
          <w:rFonts w:eastAsiaTheme="minorHAnsi" w:cstheme="minorBidi"/>
          <w:color w:val="auto"/>
          <w:sz w:val="24"/>
          <w:szCs w:val="22"/>
          <w:lang w:val="ru-RU" w:eastAsia="en-US"/>
        </w:rPr>
        <w:t>ся в 2017 году, второй - в 2021 году (полностью оценочные данные). Затем, в 2022 году и каждые 2–3 года после этого (как глобальные оц</w:t>
      </w:r>
      <w:r>
        <w:rPr>
          <w:rFonts w:eastAsiaTheme="minorHAnsi" w:cstheme="minorBidi"/>
          <w:color w:val="auto"/>
          <w:sz w:val="24"/>
          <w:szCs w:val="22"/>
          <w:lang w:val="ru-RU" w:eastAsia="en-US"/>
        </w:rPr>
        <w:t>енки, так и данные по странам).</w:t>
      </w:r>
    </w:p>
    <w:p w14:paraId="41DBEA81"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e</w:t>
      </w:r>
      <w:r w:rsidRPr="00A343D5">
        <w:rPr>
          <w:color w:val="auto"/>
          <w:sz w:val="24"/>
          <w:szCs w:val="24"/>
          <w:lang w:val="ru-RU"/>
        </w:rPr>
        <w:t xml:space="preserve">. </w:t>
      </w:r>
      <w:r w:rsidRPr="00A343D5">
        <w:rPr>
          <w:b/>
          <w:color w:val="auto"/>
          <w:sz w:val="24"/>
          <w:szCs w:val="24"/>
          <w:lang w:val="ru-RU"/>
        </w:rPr>
        <w:t>Поставщики данных</w:t>
      </w:r>
    </w:p>
    <w:p w14:paraId="2CC027A4" w14:textId="77777777" w:rsidR="00AF6A35" w:rsidRDefault="00AF6A35" w:rsidP="00AF6A35">
      <w:r w:rsidRPr="006C3901">
        <w:t>Национальные статистические управления</w:t>
      </w:r>
      <w:r>
        <w:t>.</w:t>
      </w:r>
    </w:p>
    <w:p w14:paraId="62BD81B6"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14:paraId="1B2619BB" w14:textId="77777777" w:rsidR="00AF6A35" w:rsidRDefault="00AF6A35" w:rsidP="00AF6A35">
      <w:r>
        <w:rPr>
          <w:rFonts w:cs="Times New Roman"/>
          <w:szCs w:val="24"/>
        </w:rPr>
        <w:t>П</w:t>
      </w:r>
      <w:r w:rsidRPr="0044522E">
        <w:rPr>
          <w:rFonts w:cs="Times New Roman"/>
          <w:szCs w:val="24"/>
        </w:rPr>
        <w:t>рограмма Организации Объединенных Наций по окружающей среде</w:t>
      </w:r>
      <w:r w:rsidRPr="006C3901">
        <w:t xml:space="preserve"> </w:t>
      </w:r>
      <w:r>
        <w:t>(</w:t>
      </w:r>
      <w:r w:rsidRPr="006C3901">
        <w:t>ЮНЕП</w:t>
      </w:r>
      <w:r>
        <w:t>)</w:t>
      </w:r>
      <w:r w:rsidRPr="006C3901">
        <w:t xml:space="preserve">, </w:t>
      </w:r>
      <w:r w:rsidRPr="001649FE">
        <w:t xml:space="preserve">Организация экономического сотрудничества и развития (ОЭСР) и </w:t>
      </w:r>
      <w:proofErr w:type="spellStart"/>
      <w:r w:rsidRPr="001649FE">
        <w:t>Евростат</w:t>
      </w:r>
      <w:proofErr w:type="spellEnd"/>
      <w:r w:rsidRPr="001649FE">
        <w:t>.</w:t>
      </w:r>
    </w:p>
    <w:p w14:paraId="1FB5E304"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14:paraId="1FD2E041" w14:textId="77777777" w:rsidR="00AF6A35" w:rsidRPr="000A3A98" w:rsidRDefault="00AF6A35" w:rsidP="00AF6A35">
      <w:pPr>
        <w:pStyle w:val="MHeader2"/>
        <w:spacing w:line="276" w:lineRule="auto"/>
        <w:rPr>
          <w:bCs/>
          <w:color w:val="auto"/>
          <w:sz w:val="24"/>
          <w:szCs w:val="24"/>
          <w:lang w:val="ru-RU"/>
        </w:rPr>
      </w:pPr>
      <w:r w:rsidRPr="001E5631">
        <w:rPr>
          <w:bCs/>
          <w:color w:val="auto"/>
          <w:sz w:val="24"/>
          <w:szCs w:val="24"/>
          <w:lang w:val="ru-RU"/>
        </w:rPr>
        <w:t>ЮНЕП</w:t>
      </w:r>
      <w:r>
        <w:rPr>
          <w:bCs/>
          <w:color w:val="auto"/>
          <w:sz w:val="24"/>
          <w:szCs w:val="24"/>
          <w:lang w:val="ru-RU"/>
        </w:rPr>
        <w:t xml:space="preserve"> была назначена агентством-куратором</w:t>
      </w:r>
      <w:r w:rsidRPr="001E5631">
        <w:rPr>
          <w:bCs/>
          <w:color w:val="auto"/>
          <w:sz w:val="24"/>
          <w:szCs w:val="24"/>
          <w:lang w:val="ru-RU"/>
        </w:rPr>
        <w:t xml:space="preserve"> показателя 8.4.</w:t>
      </w:r>
      <w:r>
        <w:rPr>
          <w:bCs/>
          <w:color w:val="auto"/>
          <w:sz w:val="24"/>
          <w:szCs w:val="24"/>
          <w:lang w:val="ru-RU"/>
        </w:rPr>
        <w:t>2</w:t>
      </w:r>
      <w:r w:rsidRPr="001E5631">
        <w:rPr>
          <w:bCs/>
          <w:color w:val="auto"/>
          <w:sz w:val="24"/>
          <w:szCs w:val="24"/>
          <w:lang w:val="ru-RU"/>
        </w:rPr>
        <w:t>/12.2.</w:t>
      </w:r>
      <w:r>
        <w:rPr>
          <w:bCs/>
          <w:color w:val="auto"/>
          <w:sz w:val="24"/>
          <w:szCs w:val="24"/>
          <w:lang w:val="ru-RU"/>
        </w:rPr>
        <w:t>2</w:t>
      </w:r>
      <w:r w:rsidRPr="00D04708">
        <w:rPr>
          <w:bCs/>
          <w:color w:val="auto"/>
          <w:sz w:val="24"/>
          <w:szCs w:val="24"/>
          <w:lang w:val="ru-RU"/>
        </w:rPr>
        <w:t xml:space="preserve"> </w:t>
      </w:r>
      <w:r w:rsidRPr="001E5631">
        <w:rPr>
          <w:bCs/>
          <w:color w:val="auto"/>
          <w:sz w:val="24"/>
          <w:szCs w:val="24"/>
          <w:lang w:val="ru-RU"/>
        </w:rPr>
        <w:t>Межведомственн</w:t>
      </w:r>
      <w:r>
        <w:rPr>
          <w:bCs/>
          <w:color w:val="auto"/>
          <w:sz w:val="24"/>
          <w:szCs w:val="24"/>
          <w:lang w:val="ru-RU"/>
        </w:rPr>
        <w:t xml:space="preserve">ой </w:t>
      </w:r>
      <w:r w:rsidRPr="001E5631">
        <w:rPr>
          <w:bCs/>
          <w:color w:val="auto"/>
          <w:sz w:val="24"/>
          <w:szCs w:val="24"/>
          <w:lang w:val="ru-RU"/>
        </w:rPr>
        <w:t>групп</w:t>
      </w:r>
      <w:r>
        <w:rPr>
          <w:bCs/>
          <w:color w:val="auto"/>
          <w:sz w:val="24"/>
          <w:szCs w:val="24"/>
          <w:lang w:val="ru-RU"/>
        </w:rPr>
        <w:t>ой</w:t>
      </w:r>
      <w:r w:rsidRPr="001E5631">
        <w:rPr>
          <w:bCs/>
          <w:color w:val="auto"/>
          <w:sz w:val="24"/>
          <w:szCs w:val="24"/>
          <w:lang w:val="ru-RU"/>
        </w:rPr>
        <w:t xml:space="preserve"> экспертов по показателям ЦУР. IRP ЮНЕП </w:t>
      </w:r>
      <w:r>
        <w:rPr>
          <w:bCs/>
          <w:color w:val="auto"/>
          <w:sz w:val="24"/>
          <w:szCs w:val="24"/>
          <w:lang w:val="ru-RU"/>
        </w:rPr>
        <w:t xml:space="preserve">– </w:t>
      </w:r>
      <w:r w:rsidRPr="001E5631">
        <w:rPr>
          <w:bCs/>
          <w:color w:val="auto"/>
          <w:sz w:val="24"/>
          <w:szCs w:val="24"/>
          <w:lang w:val="ru-RU"/>
        </w:rPr>
        <w:t xml:space="preserve"> это механизм в рамках ЮНЕП, поддерживающий все аспекты работы, связанные с учетом материальных потоков.</w:t>
      </w:r>
    </w:p>
    <w:p w14:paraId="77F1E23F" w14:textId="77777777" w:rsidR="00AF6A35" w:rsidRDefault="00AF6A35" w:rsidP="00AF6A35">
      <w:pPr>
        <w:pStyle w:val="MHeader"/>
        <w:rPr>
          <w:b/>
          <w:color w:val="auto"/>
          <w:sz w:val="24"/>
          <w:szCs w:val="24"/>
          <w:lang w:val="ru-RU"/>
        </w:rPr>
      </w:pPr>
      <w:r w:rsidRPr="00D51C14">
        <w:rPr>
          <w:b/>
          <w:color w:val="auto"/>
          <w:sz w:val="24"/>
          <w:szCs w:val="24"/>
          <w:lang w:val="ru-RU"/>
        </w:rPr>
        <w:t>4. Иные методологические соображения</w:t>
      </w:r>
    </w:p>
    <w:p w14:paraId="1581736A" w14:textId="77777777" w:rsidR="00AF6A35" w:rsidRPr="00D51C14"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Обоснование</w:t>
      </w:r>
    </w:p>
    <w:p w14:paraId="22356BF9" w14:textId="77777777" w:rsidR="00AF6A35" w:rsidRDefault="00AF6A35" w:rsidP="00AF6A35">
      <w:pPr>
        <w:spacing w:after="120" w:line="240" w:lineRule="auto"/>
        <w:rPr>
          <w:rFonts w:cs="Times New Roman"/>
          <w:szCs w:val="24"/>
        </w:rPr>
      </w:pPr>
      <w:r w:rsidRPr="00FE734E">
        <w:rPr>
          <w:rFonts w:cs="Times New Roman"/>
          <w:szCs w:val="24"/>
        </w:rPr>
        <w:t xml:space="preserve">Совокупное внутреннее материальное потребление </w:t>
      </w:r>
      <w:r>
        <w:rPr>
          <w:rFonts w:cs="Times New Roman"/>
          <w:szCs w:val="24"/>
        </w:rPr>
        <w:t xml:space="preserve">(DMC) отражает количество материалов, которые используются в национальной экономике. DMC является территориальным (производственным) показателем. DMC также определяет количество материалов, которые необходимо обрабатывать в пределах экономики, которые либо добавляются к материальным запасам зданий и транспортной инфраструктуры, либо используются в качестве материальной пропускной способности для подпитки экономики. DMC описывает физический размер </w:t>
      </w:r>
      <w:proofErr w:type="gramStart"/>
      <w:r>
        <w:rPr>
          <w:rFonts w:cs="Times New Roman"/>
          <w:szCs w:val="24"/>
        </w:rPr>
        <w:t>экономических процессов</w:t>
      </w:r>
      <w:proofErr w:type="gramEnd"/>
      <w:r>
        <w:rPr>
          <w:rFonts w:cs="Times New Roman"/>
          <w:szCs w:val="24"/>
        </w:rPr>
        <w:t xml:space="preserve"> и взаимодействий. Его также можно интерпретировать как долгосрочный эквивалент отходов. DMC на душу населения описывает средний уровень использования материалов в экономике – показатель нагрузки на окружающую среду – и также упоминается как метаболический профиль.</w:t>
      </w:r>
    </w:p>
    <w:p w14:paraId="767BE75A"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Комментарии и ограничения</w:t>
      </w:r>
    </w:p>
    <w:p w14:paraId="0A6754DF" w14:textId="77777777" w:rsidR="00AF6A35" w:rsidRDefault="00AF6A35" w:rsidP="00AF6A35">
      <w:r>
        <w:t>DMC</w:t>
      </w:r>
      <w:r w:rsidRPr="00DE2202">
        <w:t xml:space="preserve"> не может быть дезагрегирован в секторах экономики, что ограничивает его возможность стать </w:t>
      </w:r>
      <w:r>
        <w:t>вспомогательным счетом для</w:t>
      </w:r>
      <w:r w:rsidRPr="00DE2202">
        <w:t xml:space="preserve"> Систем</w:t>
      </w:r>
      <w:r>
        <w:t>ы</w:t>
      </w:r>
      <w:r w:rsidRPr="00DE2202">
        <w:t xml:space="preserve"> Национальных Счетов (СНС).</w:t>
      </w:r>
    </w:p>
    <w:p w14:paraId="392F9527" w14:textId="77777777" w:rsidR="00AF6A35" w:rsidRDefault="00AF6A35" w:rsidP="00AF6A35">
      <w:pPr>
        <w:pStyle w:val="MHeader2"/>
        <w:spacing w:line="276" w:lineRule="auto"/>
        <w:rPr>
          <w:color w:val="auto"/>
          <w:sz w:val="24"/>
          <w:szCs w:val="24"/>
          <w:lang w:val="ru-RU"/>
        </w:rPr>
      </w:pPr>
      <w:r w:rsidRPr="008501F4">
        <w:rPr>
          <w:color w:val="auto"/>
          <w:sz w:val="24"/>
          <w:szCs w:val="24"/>
          <w:lang w:val="ru-RU"/>
        </w:rPr>
        <w:t>4.</w:t>
      </w:r>
      <w:r w:rsidRPr="00A343D5">
        <w:rPr>
          <w:color w:val="auto"/>
          <w:sz w:val="24"/>
          <w:szCs w:val="24"/>
        </w:rPr>
        <w:t>c</w:t>
      </w:r>
      <w:r w:rsidRPr="008501F4">
        <w:rPr>
          <w:color w:val="auto"/>
          <w:sz w:val="24"/>
          <w:szCs w:val="24"/>
          <w:lang w:val="ru-RU"/>
        </w:rPr>
        <w:t xml:space="preserve">. </w:t>
      </w:r>
      <w:r w:rsidRPr="00A343D5">
        <w:rPr>
          <w:b/>
          <w:color w:val="auto"/>
          <w:sz w:val="24"/>
          <w:szCs w:val="24"/>
          <w:lang w:val="ru-RU"/>
        </w:rPr>
        <w:t>Метод</w:t>
      </w:r>
      <w:r w:rsidRPr="008501F4">
        <w:rPr>
          <w:b/>
          <w:color w:val="auto"/>
          <w:sz w:val="24"/>
          <w:szCs w:val="24"/>
          <w:lang w:val="ru-RU"/>
        </w:rPr>
        <w:t xml:space="preserve"> </w:t>
      </w:r>
      <w:r w:rsidRPr="00A343D5">
        <w:rPr>
          <w:b/>
          <w:color w:val="auto"/>
          <w:sz w:val="24"/>
          <w:szCs w:val="24"/>
          <w:lang w:val="ru-RU"/>
        </w:rPr>
        <w:t>расчета</w:t>
      </w:r>
      <w:r w:rsidRPr="008501F4">
        <w:rPr>
          <w:color w:val="auto"/>
          <w:sz w:val="24"/>
          <w:szCs w:val="24"/>
          <w:lang w:val="ru-RU"/>
        </w:rPr>
        <w:t xml:space="preserve"> </w:t>
      </w:r>
    </w:p>
    <w:p w14:paraId="7179BE19" w14:textId="77777777" w:rsidR="00AF6A35" w:rsidRPr="000E4551"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материальное потребление (</w:t>
      </w:r>
      <w:r>
        <w:rPr>
          <w:rFonts w:eastAsia="Times New Roman" w:cs="Times New Roman"/>
          <w:color w:val="000000"/>
          <w:szCs w:val="24"/>
          <w:lang w:eastAsia="ru-RU"/>
        </w:rPr>
        <w:t>DMC</w:t>
      </w:r>
      <w:r w:rsidRPr="000E4551">
        <w:rPr>
          <w:rFonts w:eastAsia="Times New Roman" w:cs="Times New Roman"/>
          <w:color w:val="000000"/>
          <w:szCs w:val="24"/>
          <w:lang w:eastAsia="ru-RU"/>
        </w:rPr>
        <w:t xml:space="preserve">) </w:t>
      </w:r>
      <w:r>
        <w:rPr>
          <w:rFonts w:eastAsia="Times New Roman" w:cs="Times New Roman"/>
          <w:color w:val="000000"/>
          <w:szCs w:val="24"/>
          <w:lang w:eastAsia="ru-RU"/>
        </w:rPr>
        <w:t>–</w:t>
      </w:r>
      <w:r w:rsidRPr="000E4551">
        <w:rPr>
          <w:rFonts w:eastAsia="Times New Roman" w:cs="Times New Roman"/>
          <w:color w:val="000000"/>
          <w:szCs w:val="24"/>
          <w:lang w:eastAsia="ru-RU"/>
        </w:rPr>
        <w:t xml:space="preserve"> это стандартный показатель учета материальных потоков (</w:t>
      </w:r>
      <w:r>
        <w:rPr>
          <w:rFonts w:eastAsia="Times New Roman" w:cs="Times New Roman"/>
          <w:color w:val="000000"/>
          <w:szCs w:val="24"/>
          <w:lang w:val="en-US" w:eastAsia="ru-RU"/>
        </w:rPr>
        <w:t>MFA</w:t>
      </w:r>
      <w:r w:rsidRPr="000E4551">
        <w:rPr>
          <w:rFonts w:eastAsia="Times New Roman" w:cs="Times New Roman"/>
          <w:color w:val="000000"/>
          <w:szCs w:val="24"/>
          <w:lang w:eastAsia="ru-RU"/>
        </w:rPr>
        <w:t xml:space="preserve">). Приведенные ниже </w:t>
      </w:r>
      <w:r>
        <w:rPr>
          <w:rFonts w:eastAsia="Times New Roman" w:cs="Times New Roman"/>
          <w:color w:val="000000"/>
          <w:szCs w:val="24"/>
          <w:lang w:val="en-US" w:eastAsia="ru-RU"/>
        </w:rPr>
        <w:t>MFA</w:t>
      </w:r>
      <w:r w:rsidRPr="000E4551">
        <w:rPr>
          <w:rFonts w:eastAsia="Times New Roman" w:cs="Times New Roman"/>
          <w:color w:val="000000"/>
          <w:szCs w:val="24"/>
          <w:lang w:eastAsia="ru-RU"/>
        </w:rPr>
        <w:t xml:space="preserve"> относятся к эколого-экономическим счетам и применяют концепции, структуры, правила и принципы бухгалтерского учета Системы эколого-экономического учета 2012 - </w:t>
      </w:r>
      <w:proofErr w:type="spellStart"/>
      <w:r w:rsidRPr="000E4551">
        <w:rPr>
          <w:rFonts w:eastAsia="Times New Roman" w:cs="Times New Roman"/>
          <w:color w:val="000000"/>
          <w:szCs w:val="24"/>
          <w:lang w:eastAsia="ru-RU"/>
        </w:rPr>
        <w:t>Central</w:t>
      </w:r>
      <w:proofErr w:type="spellEnd"/>
      <w:r w:rsidRPr="000E4551">
        <w:rPr>
          <w:rFonts w:eastAsia="Times New Roman" w:cs="Times New Roman"/>
          <w:color w:val="000000"/>
          <w:szCs w:val="24"/>
          <w:lang w:eastAsia="ru-RU"/>
        </w:rPr>
        <w:t xml:space="preserve"> </w:t>
      </w:r>
      <w:proofErr w:type="spellStart"/>
      <w:r w:rsidRPr="000E4551">
        <w:rPr>
          <w:rFonts w:eastAsia="Times New Roman" w:cs="Times New Roman"/>
          <w:color w:val="000000"/>
          <w:szCs w:val="24"/>
          <w:lang w:eastAsia="ru-RU"/>
        </w:rPr>
        <w:t>Framework</w:t>
      </w:r>
      <w:proofErr w:type="spellEnd"/>
      <w:r w:rsidRPr="000E4551">
        <w:rPr>
          <w:rFonts w:eastAsia="Times New Roman" w:cs="Times New Roman"/>
          <w:color w:val="000000"/>
          <w:szCs w:val="24"/>
          <w:lang w:eastAsia="ru-RU"/>
        </w:rPr>
        <w:t>. Его следует</w:t>
      </w:r>
      <w:r>
        <w:rPr>
          <w:rFonts w:eastAsia="Times New Roman" w:cs="Times New Roman"/>
          <w:color w:val="000000"/>
          <w:szCs w:val="24"/>
          <w:lang w:eastAsia="ru-RU"/>
        </w:rPr>
        <w:t xml:space="preserve"> </w:t>
      </w:r>
      <w:r w:rsidRPr="000E4551">
        <w:rPr>
          <w:rFonts w:eastAsia="Times New Roman" w:cs="Times New Roman"/>
          <w:color w:val="000000"/>
          <w:szCs w:val="24"/>
          <w:lang w:eastAsia="ru-RU"/>
        </w:rPr>
        <w:t>использовать в сочетании с чтением глобального руководства EW-MFA по использованию природных ресурсов в экономике:</w:t>
      </w:r>
    </w:p>
    <w:p w14:paraId="667EC97A" w14:textId="77777777" w:rsidR="00AF6A35" w:rsidRPr="000E4551"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Глобальное руководство по учету материальных потоков в масштабах всей экономики</w:t>
      </w:r>
    </w:p>
    <w:p w14:paraId="29044C07"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w:t>
      </w:r>
      <w:hyperlink r:id="rId10" w:history="1">
        <w:r w:rsidRPr="001270A4">
          <w:rPr>
            <w:rStyle w:val="ad"/>
            <w:rFonts w:eastAsia="Times New Roman" w:cs="Times New Roman"/>
            <w:szCs w:val="24"/>
            <w:lang w:eastAsia="ru-RU"/>
          </w:rPr>
          <w:t>https://wedocs.unep.org/bitstream/handle/20.500.11822/36253/UNRE.pdf?sequence=3&amp;isAllowed=y</w:t>
        </w:r>
      </w:hyperlink>
      <w:r w:rsidRPr="000E4551">
        <w:rPr>
          <w:rFonts w:eastAsia="Times New Roman" w:cs="Times New Roman"/>
          <w:color w:val="000000"/>
          <w:szCs w:val="24"/>
          <w:lang w:eastAsia="ru-RU"/>
        </w:rPr>
        <w:t>)</w:t>
      </w:r>
    </w:p>
    <w:p w14:paraId="24E561F1"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м</w:t>
      </w:r>
      <w:r>
        <w:rPr>
          <w:rFonts w:eastAsia="Times New Roman" w:cs="Times New Roman"/>
          <w:color w:val="000000"/>
          <w:szCs w:val="24"/>
          <w:lang w:eastAsia="ru-RU"/>
        </w:rPr>
        <w:t xml:space="preserve">атериальное потребление (DMC) по типу сырья (тонны) </w:t>
      </w:r>
      <w:r w:rsidRPr="00AE225A">
        <w:rPr>
          <w:rFonts w:eastAsia="Times New Roman" w:cs="Times New Roman"/>
          <w:color w:val="000000"/>
          <w:szCs w:val="24"/>
          <w:lang w:eastAsia="ru-RU"/>
        </w:rPr>
        <w:t>рассчитывается как:</w:t>
      </w:r>
    </w:p>
    <w:p w14:paraId="0EEB1346" w14:textId="77777777" w:rsidR="00AF6A35" w:rsidRPr="00E97312" w:rsidRDefault="00AF6A35" w:rsidP="00AF6A35">
      <w:pPr>
        <w:pStyle w:val="a0"/>
        <w:rPr>
          <w:lang w:eastAsia="ru-RU"/>
        </w:rPr>
      </w:pPr>
    </w:p>
    <w:p w14:paraId="6B4F2B29" w14:textId="77777777" w:rsidR="00AF6A35" w:rsidRPr="009E39D9" w:rsidRDefault="00AF6A35" w:rsidP="00AF6A35">
      <w:pPr>
        <w:pStyle w:val="a0"/>
        <w:rPr>
          <w:lang w:val="en-GB" w:eastAsia="ru-RU"/>
        </w:rPr>
      </w:pPr>
      <m:oMathPara>
        <m:oMath>
          <m:r>
            <w:rPr>
              <w:rFonts w:ascii="Cambria Math" w:eastAsia="Times New Roman" w:hAnsi="Cambria Math" w:cs="Times New Roman"/>
              <w:color w:val="000000"/>
              <w:szCs w:val="24"/>
              <w:lang w:eastAsia="ru-RU"/>
            </w:rPr>
            <m:t>DMC</m:t>
          </m:r>
          <m:r>
            <w:rPr>
              <w:rFonts w:ascii="Cambria Math" w:hAnsi="Cambria Math"/>
              <w:lang w:val="en-GB" w:eastAsia="ru-RU"/>
            </w:rPr>
            <m:t>=DE+IM-EX,</m:t>
          </m:r>
        </m:oMath>
      </m:oMathPara>
    </w:p>
    <w:p w14:paraId="5737AFB7" w14:textId="77777777" w:rsidR="00AF6A35" w:rsidRPr="009E39D9" w:rsidRDefault="00AF6A35" w:rsidP="00AF6A35">
      <w:pPr>
        <w:pStyle w:val="a0"/>
        <w:rPr>
          <w:lang w:eastAsia="ru-RU"/>
        </w:rPr>
      </w:pPr>
      <w:r>
        <w:rPr>
          <w:lang w:eastAsia="ru-RU"/>
        </w:rPr>
        <w:t>где</w:t>
      </w:r>
      <w:r w:rsidRPr="009E39D9">
        <w:rPr>
          <w:lang w:eastAsia="ru-RU"/>
        </w:rPr>
        <w:t>:</w:t>
      </w:r>
    </w:p>
    <w:p w14:paraId="0E5CE802" w14:textId="77777777" w:rsidR="00AF6A35" w:rsidRPr="009E39D9" w:rsidRDefault="00AF6A35" w:rsidP="00AF6A35">
      <w:pPr>
        <w:pStyle w:val="a0"/>
        <w:rPr>
          <w:lang w:eastAsia="ru-RU"/>
        </w:rPr>
      </w:pPr>
      <w:r w:rsidRPr="00C56726">
        <w:rPr>
          <w:rFonts w:eastAsia="Times New Roman" w:cs="Times New Roman"/>
          <w:i/>
          <w:color w:val="000000"/>
          <w:szCs w:val="24"/>
          <w:lang w:eastAsia="ru-RU"/>
        </w:rPr>
        <w:t>DMC</w:t>
      </w:r>
      <w:r>
        <w:rPr>
          <w:rFonts w:eastAsia="Times New Roman" w:cs="Times New Roman"/>
          <w:color w:val="000000"/>
          <w:szCs w:val="24"/>
          <w:lang w:eastAsia="ru-RU"/>
        </w:rPr>
        <w:t xml:space="preserve"> – </w:t>
      </w:r>
      <w:r w:rsidRPr="009E39D9">
        <w:rPr>
          <w:rFonts w:eastAsia="Times New Roman" w:cs="Times New Roman"/>
          <w:color w:val="000000"/>
          <w:szCs w:val="24"/>
          <w:lang w:eastAsia="ru-RU"/>
        </w:rPr>
        <w:t>Совокупное внутреннее материальное потребление</w:t>
      </w:r>
      <w:r>
        <w:rPr>
          <w:rFonts w:eastAsia="Times New Roman" w:cs="Times New Roman"/>
          <w:color w:val="000000"/>
          <w:szCs w:val="24"/>
          <w:lang w:eastAsia="ru-RU"/>
        </w:rPr>
        <w:t>;</w:t>
      </w:r>
    </w:p>
    <w:p w14:paraId="1D3D571E" w14:textId="77777777" w:rsidR="00AF6A35" w:rsidRPr="00AE225A"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w:lastRenderedPageBreak/>
          <m:t>DE</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внутренняя</w:t>
      </w:r>
      <w:r w:rsidRPr="00AE225A">
        <w:rPr>
          <w:rFonts w:eastAsia="Times New Roman" w:cs="Times New Roman"/>
          <w:color w:val="000000"/>
          <w:szCs w:val="24"/>
          <w:lang w:eastAsia="ru-RU"/>
        </w:rPr>
        <w:t xml:space="preserve"> </w:t>
      </w:r>
      <w:r>
        <w:rPr>
          <w:rFonts w:eastAsia="Times New Roman" w:cs="Times New Roman"/>
          <w:color w:val="000000"/>
          <w:szCs w:val="24"/>
          <w:lang w:eastAsia="ru-RU"/>
        </w:rPr>
        <w:t>добыча</w:t>
      </w:r>
      <w:r w:rsidRPr="00AE225A">
        <w:rPr>
          <w:rFonts w:eastAsia="Times New Roman" w:cs="Times New Roman"/>
          <w:color w:val="000000"/>
          <w:szCs w:val="24"/>
          <w:lang w:eastAsia="ru-RU"/>
        </w:rPr>
        <w:t xml:space="preserve"> </w:t>
      </w:r>
      <w:r>
        <w:rPr>
          <w:rFonts w:eastAsia="Times New Roman" w:cs="Times New Roman"/>
          <w:color w:val="000000"/>
          <w:szCs w:val="24"/>
          <w:lang w:eastAsia="ru-RU"/>
        </w:rPr>
        <w:t>материалов</w:t>
      </w:r>
      <w:r w:rsidRPr="00AE225A">
        <w:rPr>
          <w:rFonts w:eastAsia="Times New Roman" w:cs="Times New Roman"/>
          <w:color w:val="000000"/>
          <w:szCs w:val="24"/>
          <w:lang w:eastAsia="ru-RU"/>
        </w:rPr>
        <w:t xml:space="preserve">; </w:t>
      </w:r>
    </w:p>
    <w:p w14:paraId="5543CAD3" w14:textId="77777777" w:rsidR="00AF6A35" w:rsidRPr="00AE225A"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m:t>IM</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прямой импорт</w:t>
      </w:r>
      <w:r w:rsidRPr="00AE225A">
        <w:rPr>
          <w:rFonts w:eastAsia="Times New Roman" w:cs="Times New Roman"/>
          <w:color w:val="000000"/>
          <w:szCs w:val="24"/>
          <w:lang w:eastAsia="ru-RU"/>
        </w:rPr>
        <w:t>;</w:t>
      </w:r>
    </w:p>
    <w:p w14:paraId="24C8F1F2" w14:textId="77777777" w:rsidR="00AF6A35" w:rsidRDefault="00AF6A35" w:rsidP="00AF6A35">
      <w:pPr>
        <w:spacing w:after="120" w:line="240" w:lineRule="auto"/>
        <w:rPr>
          <w:rFonts w:eastAsia="Times New Roman" w:cs="Times New Roman"/>
          <w:color w:val="000000"/>
          <w:szCs w:val="24"/>
          <w:lang w:eastAsia="ru-RU"/>
        </w:rPr>
      </w:pPr>
      <m:oMath>
        <m:r>
          <w:rPr>
            <w:rFonts w:ascii="Cambria Math" w:eastAsia="Times New Roman" w:hAnsi="Cambria Math" w:cs="Times New Roman"/>
            <w:color w:val="000000"/>
            <w:szCs w:val="24"/>
            <w:lang w:val="en-GB" w:eastAsia="ru-RU"/>
          </w:rPr>
          <m:t>EX</m:t>
        </m:r>
      </m:oMath>
      <w:r w:rsidRPr="00AE225A">
        <w:rPr>
          <w:rFonts w:eastAsia="Times New Roman" w:cs="Times New Roman"/>
          <w:color w:val="000000"/>
          <w:szCs w:val="24"/>
          <w:lang w:eastAsia="ru-RU"/>
        </w:rPr>
        <w:t xml:space="preserve"> – </w:t>
      </w:r>
      <w:r>
        <w:rPr>
          <w:rFonts w:eastAsia="Times New Roman" w:cs="Times New Roman"/>
          <w:color w:val="000000"/>
          <w:szCs w:val="24"/>
          <w:lang w:eastAsia="ru-RU"/>
        </w:rPr>
        <w:t>прямой экспорт</w:t>
      </w:r>
      <w:r w:rsidRPr="00AE225A">
        <w:rPr>
          <w:rFonts w:eastAsia="Times New Roman" w:cs="Times New Roman"/>
          <w:color w:val="000000"/>
          <w:szCs w:val="24"/>
          <w:lang w:eastAsia="ru-RU"/>
        </w:rPr>
        <w:t>.</w:t>
      </w:r>
    </w:p>
    <w:p w14:paraId="4BF69CF7" w14:textId="77777777" w:rsidR="00AF6A35" w:rsidRDefault="00AF6A35" w:rsidP="00AF6A35">
      <w:pPr>
        <w:spacing w:after="120" w:line="240" w:lineRule="auto"/>
        <w:rPr>
          <w:rFonts w:eastAsia="Times New Roman" w:cs="Times New Roman"/>
          <w:color w:val="000000"/>
          <w:szCs w:val="24"/>
          <w:lang w:eastAsia="ru-RU"/>
        </w:rPr>
      </w:pPr>
      <w:r>
        <w:rPr>
          <w:rFonts w:eastAsia="Times New Roman" w:cs="Times New Roman"/>
          <w:color w:val="000000"/>
          <w:szCs w:val="24"/>
          <w:lang w:eastAsia="ru-RU"/>
        </w:rPr>
        <w:t>DMC измеряет количество материалов, которые используются в экономических процессах. Оно не включает материалы, которые мобилизуют процесс внутренней добычи, но не входят в экономический процесс.</w:t>
      </w:r>
    </w:p>
    <w:p w14:paraId="4EF09795" w14:textId="77777777" w:rsidR="00AF6A35" w:rsidRDefault="00AF6A35" w:rsidP="00AF6A35">
      <w:pPr>
        <w:spacing w:after="120" w:line="240" w:lineRule="auto"/>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потребление материалов на душу населения по видам сырья (тонны) рассчитывается как</w:t>
      </w:r>
      <w:r>
        <w:rPr>
          <w:rFonts w:eastAsia="Times New Roman" w:cs="Times New Roman"/>
          <w:color w:val="000000"/>
          <w:szCs w:val="24"/>
          <w:lang w:eastAsia="ru-RU"/>
        </w:rPr>
        <w:t>:</w:t>
      </w:r>
    </w:p>
    <w:p w14:paraId="7EF3FF86" w14:textId="77777777" w:rsidR="00AF6A35" w:rsidRPr="00E97312" w:rsidRDefault="00AF6A35" w:rsidP="00AF6A35">
      <w:pPr>
        <w:pStyle w:val="a0"/>
        <w:rPr>
          <w:lang w:eastAsia="ru-RU"/>
        </w:rPr>
      </w:pPr>
    </w:p>
    <w:p w14:paraId="719EB40F" w14:textId="77777777" w:rsidR="00AF6A35" w:rsidRPr="00E97312" w:rsidRDefault="00AF6A35" w:rsidP="00AF6A35">
      <w:pPr>
        <w:spacing w:after="120" w:line="240" w:lineRule="auto"/>
        <w:rPr>
          <w:rFonts w:eastAsia="Times New Roman" w:cs="Times New Roman"/>
          <w:color w:val="000000"/>
          <w:szCs w:val="24"/>
          <w:lang w:eastAsia="ru-RU"/>
        </w:rPr>
      </w:pPr>
      <m:oMathPara>
        <m:oMath>
          <m:r>
            <w:rPr>
              <w:rFonts w:ascii="Cambria Math" w:eastAsia="Times New Roman" w:hAnsi="Cambria Math" w:cs="Times New Roman"/>
              <w:color w:val="000000"/>
              <w:szCs w:val="24"/>
              <w:lang w:val="en-GB" w:eastAsia="ru-RU"/>
            </w:rPr>
            <m:t xml:space="preserve">DMC на душу= </m:t>
          </m:r>
          <m:f>
            <m:fPr>
              <m:ctrlPr>
                <w:rPr>
                  <w:rFonts w:ascii="Cambria Math" w:eastAsia="Times New Roman" w:hAnsi="Cambria Math" w:cs="Times New Roman"/>
                  <w:i/>
                  <w:color w:val="000000"/>
                  <w:szCs w:val="24"/>
                  <w:lang w:val="en-GB" w:eastAsia="ru-RU"/>
                </w:rPr>
              </m:ctrlPr>
            </m:fPr>
            <m:num>
              <m:r>
                <w:rPr>
                  <w:rFonts w:ascii="Cambria Math" w:eastAsia="Times New Roman" w:hAnsi="Cambria Math" w:cs="Times New Roman"/>
                  <w:color w:val="000000"/>
                  <w:szCs w:val="24"/>
                  <w:lang w:val="en-GB" w:eastAsia="ru-RU"/>
                </w:rPr>
                <m:t>DMC</m:t>
              </m:r>
            </m:num>
            <m:den>
              <m:r>
                <w:rPr>
                  <w:rFonts w:ascii="Cambria Math" w:eastAsia="Times New Roman" w:hAnsi="Cambria Math" w:cs="Times New Roman"/>
                  <w:color w:val="000000"/>
                  <w:szCs w:val="24"/>
                  <w:lang w:val="en-GB" w:eastAsia="ru-RU"/>
                </w:rPr>
                <m:t>Среднегодовая численность населения</m:t>
              </m:r>
            </m:den>
          </m:f>
        </m:oMath>
      </m:oMathPara>
    </w:p>
    <w:p w14:paraId="706E915E" w14:textId="77777777" w:rsidR="00AF6A35" w:rsidRPr="00E97312" w:rsidRDefault="00AF6A35" w:rsidP="00AF6A35">
      <w:pPr>
        <w:pStyle w:val="a0"/>
        <w:rPr>
          <w:lang w:eastAsia="ru-RU"/>
        </w:rPr>
      </w:pPr>
    </w:p>
    <w:p w14:paraId="5CCBAEF8" w14:textId="77777777" w:rsidR="00AF6A35" w:rsidRDefault="00AF6A35" w:rsidP="00AF6A35">
      <w:pPr>
        <w:pStyle w:val="a0"/>
        <w:rPr>
          <w:rFonts w:eastAsia="Times New Roman" w:cs="Times New Roman"/>
          <w:color w:val="000000"/>
          <w:szCs w:val="24"/>
          <w:lang w:eastAsia="ru-RU"/>
        </w:rPr>
      </w:pPr>
      <w:r w:rsidRPr="000E4551">
        <w:rPr>
          <w:rFonts w:eastAsia="Times New Roman" w:cs="Times New Roman"/>
          <w:color w:val="000000"/>
          <w:szCs w:val="24"/>
          <w:lang w:eastAsia="ru-RU"/>
        </w:rPr>
        <w:t>Совокупное внутреннее потребление материалов</w:t>
      </w:r>
      <w:r>
        <w:rPr>
          <w:rFonts w:eastAsia="Times New Roman" w:cs="Times New Roman"/>
          <w:color w:val="000000"/>
          <w:szCs w:val="24"/>
          <w:lang w:eastAsia="ru-RU"/>
        </w:rPr>
        <w:t xml:space="preserve"> </w:t>
      </w:r>
      <w:r w:rsidRPr="00EA4FCB">
        <w:rPr>
          <w:rFonts w:eastAsia="Times New Roman" w:cs="Times New Roman"/>
          <w:color w:val="000000"/>
          <w:szCs w:val="24"/>
          <w:lang w:eastAsia="ru-RU"/>
        </w:rPr>
        <w:t>на единицу ВВП по видам сырья (килограммы на доллары США в постоянны</w:t>
      </w:r>
      <w:r>
        <w:rPr>
          <w:rFonts w:eastAsia="Times New Roman" w:cs="Times New Roman"/>
          <w:color w:val="000000"/>
          <w:szCs w:val="24"/>
          <w:lang w:eastAsia="ru-RU"/>
        </w:rPr>
        <w:t xml:space="preserve">х ценах </w:t>
      </w:r>
      <w:r w:rsidRPr="00EA4FCB">
        <w:rPr>
          <w:rFonts w:eastAsia="Times New Roman" w:cs="Times New Roman"/>
          <w:color w:val="000000"/>
          <w:szCs w:val="24"/>
          <w:lang w:eastAsia="ru-RU"/>
        </w:rPr>
        <w:t>2015 год</w:t>
      </w:r>
      <w:r>
        <w:rPr>
          <w:rFonts w:eastAsia="Times New Roman" w:cs="Times New Roman"/>
          <w:color w:val="000000"/>
          <w:szCs w:val="24"/>
          <w:lang w:eastAsia="ru-RU"/>
        </w:rPr>
        <w:t>а</w:t>
      </w:r>
      <w:r w:rsidRPr="00EA4FCB">
        <w:rPr>
          <w:rFonts w:eastAsia="Times New Roman" w:cs="Times New Roman"/>
          <w:color w:val="000000"/>
          <w:szCs w:val="24"/>
          <w:lang w:eastAsia="ru-RU"/>
        </w:rPr>
        <w:t xml:space="preserve">) рассчитывается </w:t>
      </w:r>
      <w:r>
        <w:rPr>
          <w:rFonts w:eastAsia="Times New Roman" w:cs="Times New Roman"/>
          <w:color w:val="000000"/>
          <w:szCs w:val="24"/>
          <w:lang w:eastAsia="ru-RU"/>
        </w:rPr>
        <w:t>как</w:t>
      </w:r>
      <w:r w:rsidRPr="00EA4FCB">
        <w:rPr>
          <w:rFonts w:eastAsia="Times New Roman" w:cs="Times New Roman"/>
          <w:color w:val="000000"/>
          <w:szCs w:val="24"/>
          <w:lang w:eastAsia="ru-RU"/>
        </w:rPr>
        <w:t xml:space="preserve">: </w:t>
      </w:r>
    </w:p>
    <w:p w14:paraId="0D04489F" w14:textId="77777777" w:rsidR="00AF6A35" w:rsidRPr="00B00AAF" w:rsidRDefault="00AF6A35" w:rsidP="00AF6A35">
      <w:pPr>
        <w:pStyle w:val="a0"/>
        <w:rPr>
          <w:rFonts w:eastAsia="Times New Roman" w:cs="Times New Roman"/>
          <w:color w:val="000000"/>
          <w:szCs w:val="24"/>
          <w:lang w:eastAsia="ru-RU"/>
        </w:rPr>
      </w:pPr>
    </w:p>
    <w:p w14:paraId="7862BE25" w14:textId="77777777" w:rsidR="00AF6A35" w:rsidRPr="00E97312" w:rsidRDefault="00AF6A35" w:rsidP="00AF6A35">
      <w:pPr>
        <w:pStyle w:val="a0"/>
        <w:rPr>
          <w:rFonts w:eastAsia="Times New Roman" w:cs="Times New Roman"/>
          <w:color w:val="000000"/>
          <w:szCs w:val="24"/>
          <w:lang w:eastAsia="ru-RU"/>
        </w:rPr>
      </w:pPr>
      <m:oMathPara>
        <m:oMath>
          <m:r>
            <w:rPr>
              <w:rFonts w:ascii="Cambria Math" w:eastAsia="Times New Roman" w:hAnsi="Cambria Math" w:cs="Times New Roman"/>
              <w:color w:val="000000"/>
              <w:szCs w:val="24"/>
              <w:lang w:val="es-ES" w:eastAsia="ru-RU"/>
            </w:rPr>
            <m:t xml:space="preserve">DMC на единицу ВВП= </m:t>
          </m:r>
          <m:f>
            <m:fPr>
              <m:ctrlPr>
                <w:rPr>
                  <w:rFonts w:ascii="Cambria Math" w:eastAsia="Times New Roman" w:hAnsi="Cambria Math" w:cs="Times New Roman"/>
                  <w:i/>
                  <w:color w:val="000000"/>
                  <w:szCs w:val="24"/>
                  <w:lang w:val="es-ES" w:eastAsia="ru-RU"/>
                </w:rPr>
              </m:ctrlPr>
            </m:fPr>
            <m:num>
              <m:r>
                <w:rPr>
                  <w:rFonts w:ascii="Cambria Math" w:eastAsia="Times New Roman" w:hAnsi="Cambria Math" w:cs="Times New Roman"/>
                  <w:color w:val="000000"/>
                  <w:szCs w:val="24"/>
                  <w:lang w:val="es-ES" w:eastAsia="ru-RU"/>
                </w:rPr>
                <m:t>DMC</m:t>
              </m:r>
            </m:num>
            <m:den>
              <m:r>
                <w:rPr>
                  <w:rFonts w:ascii="Cambria Math" w:eastAsia="Times New Roman" w:hAnsi="Cambria Math" w:cs="Times New Roman"/>
                  <w:color w:val="000000"/>
                  <w:szCs w:val="24"/>
                  <w:lang w:val="es-ES" w:eastAsia="ru-RU"/>
                </w:rPr>
                <m:t xml:space="preserve">ВВП в </m:t>
              </m:r>
              <m:r>
                <m:rPr>
                  <m:sty m:val="p"/>
                </m:rPr>
                <w:rPr>
                  <w:rFonts w:ascii="Cambria Math" w:eastAsia="Times New Roman" w:hAnsi="Cambria Math" w:cs="Times New Roman"/>
                  <w:color w:val="000000"/>
                  <w:szCs w:val="24"/>
                  <w:lang w:eastAsia="ru-RU"/>
                </w:rPr>
                <m:t>долларах США в постоянных ценах 2015 года</m:t>
              </m:r>
            </m:den>
          </m:f>
        </m:oMath>
      </m:oMathPara>
    </w:p>
    <w:p w14:paraId="7F258F18" w14:textId="77777777" w:rsidR="00AF6A35" w:rsidRPr="00E97312" w:rsidRDefault="00AF6A35" w:rsidP="00AF6A35">
      <w:pPr>
        <w:pStyle w:val="a0"/>
        <w:rPr>
          <w:rFonts w:eastAsia="Times New Roman" w:cs="Times New Roman"/>
          <w:color w:val="000000"/>
          <w:szCs w:val="24"/>
          <w:lang w:eastAsia="ru-RU"/>
        </w:rPr>
      </w:pPr>
    </w:p>
    <w:p w14:paraId="5EEF7D15" w14:textId="77777777" w:rsidR="00AF6A35" w:rsidRPr="00A343D5" w:rsidRDefault="00AF6A35" w:rsidP="00AF6A3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Pr="00A343D5">
        <w:rPr>
          <w:b/>
          <w:color w:val="auto"/>
          <w:sz w:val="24"/>
          <w:szCs w:val="24"/>
          <w:lang w:val="ru-RU"/>
        </w:rPr>
        <w:t>Валидация</w:t>
      </w:r>
      <w:proofErr w:type="spellEnd"/>
    </w:p>
    <w:p w14:paraId="249E8817" w14:textId="77777777" w:rsidR="00AF6A35" w:rsidRDefault="00AF6A35" w:rsidP="00AF6A35">
      <w:r w:rsidRPr="00573CD5">
        <w:t>Программа Организации Объединенных Наций по окружающей среде (ЮНЕП)</w:t>
      </w:r>
      <w:r>
        <w:t xml:space="preserve"> отправляет п</w:t>
      </w:r>
      <w:r w:rsidRPr="006C3901">
        <w:t>редварительно заполненн</w:t>
      </w:r>
      <w:r>
        <w:t>ую</w:t>
      </w:r>
      <w:r w:rsidRPr="006C3901">
        <w:t xml:space="preserve"> анкет</w:t>
      </w:r>
      <w:r>
        <w:t>у</w:t>
      </w:r>
      <w:r w:rsidRPr="006C3901">
        <w:t xml:space="preserve"> с оценочными данными координа</w:t>
      </w:r>
      <w:r>
        <w:t xml:space="preserve">ционным центрам </w:t>
      </w:r>
      <w:r w:rsidRPr="006C3901">
        <w:t xml:space="preserve">(FP) Национального статистического управления (НСУ) </w:t>
      </w:r>
      <w:r>
        <w:t xml:space="preserve">с запросом </w:t>
      </w:r>
      <w:proofErr w:type="spellStart"/>
      <w:r>
        <w:t>валидации</w:t>
      </w:r>
      <w:proofErr w:type="spellEnd"/>
      <w:r>
        <w:t xml:space="preserve"> глобально оцениваемых данных для данного показателя и для замены этой информации, если </w:t>
      </w:r>
      <w:proofErr w:type="gramStart"/>
      <w:r>
        <w:t>требуется</w:t>
      </w:r>
      <w:proofErr w:type="gramEnd"/>
      <w:r>
        <w:t xml:space="preserve">/возможно. </w:t>
      </w:r>
      <w:r w:rsidRPr="006C3901">
        <w:t>FP будут координировать сбор данных с заинтересованными сторонами в св</w:t>
      </w:r>
      <w:r>
        <w:t xml:space="preserve">оих странах, и сообщать данные </w:t>
      </w:r>
      <w:r w:rsidRPr="006C3901">
        <w:t xml:space="preserve">ЮНЕП. Для стран, в которых не собраны национальные данные по этому показателю, ЮНЕП попросит страны согласиться на публикацию и </w:t>
      </w:r>
      <w:r>
        <w:t>выпуск</w:t>
      </w:r>
      <w:r w:rsidRPr="006C3901">
        <w:t xml:space="preserve"> оценочных данных </w:t>
      </w:r>
      <w:r>
        <w:t>в</w:t>
      </w:r>
      <w:r w:rsidRPr="006C3901">
        <w:t xml:space="preserve"> </w:t>
      </w:r>
      <w:r w:rsidRPr="00752E2B">
        <w:t>Мировой экологи</w:t>
      </w:r>
      <w:r>
        <w:t>ческой ситуационной комнате ЮНЕП и</w:t>
      </w:r>
      <w:r w:rsidRPr="006C3901">
        <w:t xml:space="preserve"> в Глобальной базе данных ЦУР.</w:t>
      </w:r>
    </w:p>
    <w:p w14:paraId="70D79EB0"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Pr="00A343D5">
        <w:rPr>
          <w:b/>
          <w:color w:val="auto"/>
          <w:sz w:val="24"/>
          <w:szCs w:val="24"/>
          <w:lang w:val="ru-RU"/>
        </w:rPr>
        <w:t>Корректировки</w:t>
      </w:r>
    </w:p>
    <w:p w14:paraId="1AEFB8F4" w14:textId="77777777" w:rsidR="00AF6A35" w:rsidRPr="00451C21" w:rsidRDefault="00AF6A35" w:rsidP="00AF6A35">
      <w:pPr>
        <w:pStyle w:val="MHeader2"/>
        <w:spacing w:line="276" w:lineRule="auto"/>
        <w:rPr>
          <w:bCs/>
          <w:color w:val="auto"/>
          <w:sz w:val="24"/>
          <w:szCs w:val="24"/>
          <w:lang w:val="ru-RU"/>
        </w:rPr>
      </w:pPr>
      <w:r w:rsidRPr="00256B2B">
        <w:rPr>
          <w:bCs/>
          <w:color w:val="auto"/>
          <w:sz w:val="24"/>
          <w:szCs w:val="24"/>
          <w:lang w:val="ru-RU"/>
        </w:rPr>
        <w:t>ЮНЕП заменяет глобальные оценочные данные национальными данными по запросу страны.</w:t>
      </w:r>
    </w:p>
    <w:p w14:paraId="79973B95" w14:textId="77777777" w:rsidR="00AF6A35" w:rsidRPr="00A343D5" w:rsidRDefault="00AF6A35" w:rsidP="00AF6A3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Обработка отсутствующих значений (</w:t>
      </w:r>
      <w:proofErr w:type="spellStart"/>
      <w:r w:rsidRPr="00A343D5">
        <w:rPr>
          <w:b/>
          <w:color w:val="auto"/>
          <w:sz w:val="24"/>
          <w:szCs w:val="24"/>
        </w:rPr>
        <w:t>i</w:t>
      </w:r>
      <w:proofErr w:type="spellEnd"/>
      <w:r w:rsidRPr="00A343D5">
        <w:rPr>
          <w:b/>
          <w:color w:val="auto"/>
          <w:sz w:val="24"/>
          <w:szCs w:val="24"/>
          <w:lang w:val="ru-RU"/>
        </w:rPr>
        <w:t>) на уровне страны и (</w:t>
      </w:r>
      <w:r w:rsidRPr="00A343D5">
        <w:rPr>
          <w:b/>
          <w:color w:val="auto"/>
          <w:sz w:val="24"/>
          <w:szCs w:val="24"/>
        </w:rPr>
        <w:t>ii</w:t>
      </w:r>
      <w:r w:rsidRPr="00A343D5">
        <w:rPr>
          <w:b/>
          <w:color w:val="auto"/>
          <w:sz w:val="24"/>
          <w:szCs w:val="24"/>
          <w:lang w:val="ru-RU"/>
        </w:rPr>
        <w:t>) на региональном уровне</w:t>
      </w:r>
    </w:p>
    <w:p w14:paraId="39D5C641" w14:textId="77777777" w:rsidR="00AF6A35" w:rsidRPr="00D22DB5" w:rsidRDefault="00AF6A35" w:rsidP="00AF6A35">
      <w:pPr>
        <w:pStyle w:val="ac"/>
        <w:numPr>
          <w:ilvl w:val="0"/>
          <w:numId w:val="6"/>
        </w:numPr>
        <w:spacing w:after="120" w:line="240" w:lineRule="auto"/>
        <w:rPr>
          <w:rFonts w:cs="Times New Roman"/>
          <w:i/>
          <w:szCs w:val="24"/>
        </w:rPr>
      </w:pPr>
      <w:r w:rsidRPr="00D22DB5">
        <w:rPr>
          <w:rFonts w:cs="Times New Roman"/>
          <w:i/>
          <w:szCs w:val="24"/>
        </w:rPr>
        <w:t>На страновом уровне</w:t>
      </w:r>
      <w:r>
        <w:rPr>
          <w:rFonts w:cs="Times New Roman"/>
          <w:i/>
          <w:szCs w:val="24"/>
        </w:rPr>
        <w:t>:</w:t>
      </w:r>
    </w:p>
    <w:p w14:paraId="592380A8" w14:textId="77777777" w:rsidR="00AF6A35" w:rsidRDefault="00AF6A35" w:rsidP="00AF6A35">
      <w:pPr>
        <w:spacing w:after="120" w:line="240" w:lineRule="auto"/>
        <w:rPr>
          <w:rFonts w:cs="Times New Roman"/>
          <w:szCs w:val="24"/>
        </w:rPr>
      </w:pPr>
      <w:r>
        <w:rPr>
          <w:rFonts w:cs="Times New Roman"/>
          <w:szCs w:val="24"/>
        </w:rPr>
        <w:t xml:space="preserve">Ноль вменяется, когда положительное реальное значение не было официально записано в используемых базовых </w:t>
      </w:r>
      <w:proofErr w:type="gramStart"/>
      <w:r>
        <w:rPr>
          <w:rFonts w:cs="Times New Roman"/>
          <w:szCs w:val="24"/>
        </w:rPr>
        <w:t>наборах</w:t>
      </w:r>
      <w:proofErr w:type="gramEnd"/>
      <w:r>
        <w:rPr>
          <w:rFonts w:cs="Times New Roman"/>
          <w:szCs w:val="24"/>
        </w:rPr>
        <w:t xml:space="preserve"> данных для любого из основных компонентов, которые составляют эту совокупную сумму. Таким образом, значение «0.0» может представлять собой либо не доступные, либо подлинное значение «0.0», или (что принципиально) комбинацию обоих, что является общей ситуацией. Это позволяет легко агрегировать значения в дальнейшие объединения; однако следует отметить, что из-за вменения отсутствующих значений таких как «0.0», агрегаты могут представлять собой меньшее значение, чем они есть на самом деле.</w:t>
      </w:r>
    </w:p>
    <w:p w14:paraId="420B8D17" w14:textId="77777777" w:rsidR="00AF6A35" w:rsidRPr="00D22DB5" w:rsidRDefault="00AF6A35" w:rsidP="00AF6A35">
      <w:pPr>
        <w:pStyle w:val="ac"/>
        <w:numPr>
          <w:ilvl w:val="0"/>
          <w:numId w:val="6"/>
        </w:numPr>
        <w:spacing w:after="120" w:line="240" w:lineRule="auto"/>
        <w:rPr>
          <w:rFonts w:cs="Times New Roman"/>
          <w:i/>
          <w:szCs w:val="24"/>
        </w:rPr>
      </w:pPr>
      <w:r w:rsidRPr="00D22DB5">
        <w:rPr>
          <w:rFonts w:cs="Times New Roman"/>
          <w:i/>
          <w:szCs w:val="24"/>
        </w:rPr>
        <w:lastRenderedPageBreak/>
        <w:t>На региональном и глобальном уровнях</w:t>
      </w:r>
      <w:r>
        <w:rPr>
          <w:rFonts w:cs="Times New Roman"/>
          <w:i/>
          <w:szCs w:val="24"/>
        </w:rPr>
        <w:t>:</w:t>
      </w:r>
    </w:p>
    <w:p w14:paraId="50307FF3" w14:textId="77777777" w:rsidR="00AF6A35" w:rsidRDefault="00AF6A35" w:rsidP="00AF6A35">
      <w:pPr>
        <w:spacing w:after="120" w:line="240" w:lineRule="auto"/>
        <w:rPr>
          <w:rFonts w:cs="Times New Roman"/>
          <w:szCs w:val="24"/>
        </w:rPr>
      </w:pPr>
      <w:r>
        <w:rPr>
          <w:rFonts w:cs="Times New Roman"/>
          <w:szCs w:val="24"/>
        </w:rPr>
        <w:t>Тем же образом недостающие значения вносятся в качестве нуля в региональных и глобальных агрегатах. Однако в случае отсутствия каких-либо данных для конкретной страны, оценки, выраженные на душу населения и на единицу ВВП,</w:t>
      </w:r>
      <w:r w:rsidRPr="008C380E">
        <w:t xml:space="preserve"> </w:t>
      </w:r>
      <w:r w:rsidRPr="008C380E">
        <w:rPr>
          <w:rFonts w:cs="Times New Roman"/>
          <w:szCs w:val="24"/>
        </w:rPr>
        <w:t>представляют собой средневзвешенные значения имеющихся данных.</w:t>
      </w:r>
    </w:p>
    <w:p w14:paraId="6FA969E3" w14:textId="77777777" w:rsidR="00AF6A35" w:rsidRPr="0076390D" w:rsidRDefault="00AF6A35" w:rsidP="00AF6A35">
      <w:pPr>
        <w:pStyle w:val="MHeader2"/>
        <w:rPr>
          <w:b/>
          <w:color w:val="auto"/>
          <w:sz w:val="24"/>
          <w:lang w:val="ru-RU"/>
        </w:rPr>
      </w:pPr>
      <w:r w:rsidRPr="0076390D">
        <w:rPr>
          <w:b/>
          <w:color w:val="auto"/>
          <w:sz w:val="24"/>
          <w:lang w:val="ru-RU"/>
        </w:rPr>
        <w:t>4.</w:t>
      </w:r>
      <w:r w:rsidRPr="008C380E">
        <w:rPr>
          <w:b/>
          <w:color w:val="auto"/>
          <w:sz w:val="24"/>
        </w:rPr>
        <w:t>g</w:t>
      </w:r>
      <w:r w:rsidRPr="0076390D">
        <w:rPr>
          <w:b/>
          <w:color w:val="auto"/>
          <w:sz w:val="24"/>
          <w:lang w:val="ru-RU"/>
        </w:rPr>
        <w:t xml:space="preserve">. Региональное агрегирование </w:t>
      </w:r>
    </w:p>
    <w:p w14:paraId="515016C9" w14:textId="77777777" w:rsidR="00AF6A35" w:rsidRDefault="00AF6A35" w:rsidP="00AF6A35">
      <w:r w:rsidRPr="00DE5549">
        <w:t xml:space="preserve">Данные будут агрегированы на субрегиональном, региональном и глобальном уровнях. Информацию о методах агрегирования см. По адресу: </w:t>
      </w:r>
      <w:hyperlink r:id="rId11" w:history="1">
        <w:r w:rsidRPr="00AD7822">
          <w:rPr>
            <w:rStyle w:val="ad"/>
          </w:rPr>
          <w:t>http://wesr.unep.org/media/docs/graphs/aggregation_methods.pdf</w:t>
        </w:r>
      </w:hyperlink>
    </w:p>
    <w:p w14:paraId="0886F776"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Pr="00A343D5">
        <w:rPr>
          <w:b/>
          <w:color w:val="auto"/>
          <w:sz w:val="24"/>
          <w:szCs w:val="24"/>
          <w:lang w:val="ru-RU"/>
        </w:rPr>
        <w:t>Доступные странам методы для сбора данных на национальном уровне</w:t>
      </w:r>
    </w:p>
    <w:p w14:paraId="3CD0268F" w14:textId="77777777" w:rsidR="00AF6A35" w:rsidRDefault="00AF6A35" w:rsidP="00AF6A35">
      <w:proofErr w:type="gramStart"/>
      <w:r w:rsidRPr="00484DC8">
        <w:t>Программ</w:t>
      </w:r>
      <w:r>
        <w:t>а</w:t>
      </w:r>
      <w:r w:rsidRPr="00484DC8">
        <w:t xml:space="preserve"> Организации Объединенных Наций по окружающей среде </w:t>
      </w:r>
      <w:r>
        <w:t xml:space="preserve">(ЮНЕП) совместно с </w:t>
      </w:r>
      <w:r w:rsidRPr="00484DC8">
        <w:t xml:space="preserve">Международной группой по ресурсам </w:t>
      </w:r>
      <w:r>
        <w:t xml:space="preserve">(IRP), </w:t>
      </w:r>
      <w:r w:rsidRPr="00484DC8">
        <w:t>Статистически</w:t>
      </w:r>
      <w:r>
        <w:t>м</w:t>
      </w:r>
      <w:r w:rsidRPr="00484DC8">
        <w:t xml:space="preserve"> отдел</w:t>
      </w:r>
      <w:r>
        <w:t>ом</w:t>
      </w:r>
      <w:r w:rsidRPr="00484DC8">
        <w:t xml:space="preserve"> ООН</w:t>
      </w:r>
      <w:r>
        <w:t xml:space="preserve"> (СОООН),  </w:t>
      </w:r>
      <w:r w:rsidRPr="006F4CDB">
        <w:t>Статистическ</w:t>
      </w:r>
      <w:r>
        <w:t>ой</w:t>
      </w:r>
      <w:r w:rsidRPr="006F4CDB">
        <w:t xml:space="preserve"> служб</w:t>
      </w:r>
      <w:r>
        <w:t>ой</w:t>
      </w:r>
      <w:r w:rsidRPr="006F4CDB">
        <w:t xml:space="preserve"> Европейс</w:t>
      </w:r>
      <w:r>
        <w:t>кого союза (</w:t>
      </w:r>
      <w:proofErr w:type="spellStart"/>
      <w:r>
        <w:t>Евростат</w:t>
      </w:r>
      <w:proofErr w:type="spellEnd"/>
      <w:r>
        <w:t xml:space="preserve">) и </w:t>
      </w:r>
      <w:r w:rsidRPr="00484DC8">
        <w:t>Организаци</w:t>
      </w:r>
      <w:r>
        <w:t>ей</w:t>
      </w:r>
      <w:r w:rsidRPr="00484DC8">
        <w:t xml:space="preserve"> экономического сотрудничества и развития</w:t>
      </w:r>
      <w:r>
        <w:t xml:space="preserve"> (ОЭСР) разработала глобальное руководство по учету материальных потоков в масштабах всей экономики (EW-MFA), которое как приводится в европейских рекомендациях, так и обеспечивают модульный подход для стран, желающих разработать EW-MFA</w:t>
      </w:r>
      <w:r w:rsidRPr="00714795">
        <w:t xml:space="preserve"> </w:t>
      </w:r>
      <w:r>
        <w:t>впервые</w:t>
      </w:r>
      <w:proofErr w:type="gramEnd"/>
      <w:r>
        <w:t xml:space="preserve">, </w:t>
      </w:r>
      <w:proofErr w:type="gramStart"/>
      <w:r>
        <w:t>и в которой рассматриваются вопросы, связанные с экономикой, основанной на добыче полезных ископаемых.</w:t>
      </w:r>
      <w:proofErr w:type="gramEnd"/>
    </w:p>
    <w:p w14:paraId="18641ABC" w14:textId="77777777" w:rsidR="00AF6A35" w:rsidRPr="00357940" w:rsidRDefault="00AF6A35" w:rsidP="00AF6A35">
      <w:pPr>
        <w:pStyle w:val="a0"/>
        <w:numPr>
          <w:ilvl w:val="0"/>
          <w:numId w:val="9"/>
        </w:numPr>
        <w:rPr>
          <w:lang w:val="en-GB"/>
        </w:rPr>
      </w:pPr>
      <w:r w:rsidRPr="008A0E87">
        <w:rPr>
          <w:lang w:val="en-GB"/>
        </w:rPr>
        <w:t xml:space="preserve">UNEP (2021). The use of natural resources in the economy - A Global Manual on Economy Wide Material Flow Accounting: </w:t>
      </w:r>
      <w:hyperlink r:id="rId12" w:history="1">
        <w:r w:rsidRPr="00FF5D45">
          <w:rPr>
            <w:rStyle w:val="ad"/>
            <w:lang w:val="en-GB"/>
          </w:rPr>
          <w:t>https://wedocs.unep.org/bitstream/handle/20.500.11822/36253/UNRE.pdf?sequence=3&amp;isAllowed=y</w:t>
        </w:r>
      </w:hyperlink>
    </w:p>
    <w:p w14:paraId="53626F85" w14:textId="77777777" w:rsidR="00AF6A35" w:rsidRPr="00357940" w:rsidRDefault="00AF6A35" w:rsidP="00AF6A35">
      <w:pPr>
        <w:pStyle w:val="a0"/>
        <w:numPr>
          <w:ilvl w:val="0"/>
          <w:numId w:val="9"/>
        </w:numPr>
        <w:rPr>
          <w:lang w:val="en-GB"/>
        </w:rPr>
      </w:pPr>
      <w:r w:rsidRPr="008A0E87">
        <w:rPr>
          <w:lang w:val="en-GB"/>
        </w:rPr>
        <w:t>EUROSTAT (2018). The EU Economy-wide material flow accounts handbook 2018:</w:t>
      </w:r>
      <w:r w:rsidRPr="00357940">
        <w:rPr>
          <w:lang w:val="en-US"/>
        </w:rPr>
        <w:t xml:space="preserve"> </w:t>
      </w:r>
      <w:hyperlink r:id="rId13" w:history="1">
        <w:r w:rsidRPr="00FF5D45">
          <w:rPr>
            <w:rStyle w:val="ad"/>
            <w:lang w:val="en-GB"/>
          </w:rPr>
          <w:t>https://ec.europa.eu/eurostat/web/products-manuals-and-guidelines/-/KS-GQ-18-006</w:t>
        </w:r>
      </w:hyperlink>
    </w:p>
    <w:p w14:paraId="025D1743" w14:textId="77777777" w:rsidR="00AF6A35" w:rsidRDefault="00AF6A35" w:rsidP="00AF6A35">
      <w:pPr>
        <w:pStyle w:val="MHeader2"/>
        <w:spacing w:line="276" w:lineRule="auto"/>
        <w:rPr>
          <w:b/>
          <w:color w:val="auto"/>
          <w:sz w:val="24"/>
          <w:szCs w:val="24"/>
          <w:lang w:val="ru-RU"/>
        </w:rPr>
      </w:pPr>
      <w:r w:rsidRPr="008A0E87">
        <w:rPr>
          <w:color w:val="auto"/>
          <w:sz w:val="24"/>
          <w:szCs w:val="24"/>
          <w:lang w:val="ru-RU"/>
        </w:rPr>
        <w:t xml:space="preserve">4 </w:t>
      </w:r>
      <w:proofErr w:type="spellStart"/>
      <w:r>
        <w:rPr>
          <w:color w:val="auto"/>
          <w:sz w:val="24"/>
          <w:szCs w:val="24"/>
          <w:lang w:val="en-US"/>
        </w:rPr>
        <w:t>i</w:t>
      </w:r>
      <w:proofErr w:type="spellEnd"/>
      <w:r w:rsidRPr="00A343D5">
        <w:rPr>
          <w:color w:val="auto"/>
          <w:sz w:val="24"/>
          <w:szCs w:val="24"/>
          <w:lang w:val="ru-RU"/>
        </w:rPr>
        <w:t xml:space="preserve">. </w:t>
      </w:r>
      <w:r>
        <w:rPr>
          <w:b/>
          <w:color w:val="auto"/>
          <w:sz w:val="24"/>
          <w:szCs w:val="24"/>
          <w:lang w:val="ru-RU"/>
        </w:rPr>
        <w:t>Управление качеством</w:t>
      </w:r>
    </w:p>
    <w:p w14:paraId="485225EE" w14:textId="77777777" w:rsidR="00AF6A35" w:rsidRPr="00451C21" w:rsidRDefault="00AF6A35" w:rsidP="00AF6A35">
      <w:pPr>
        <w:pStyle w:val="a0"/>
      </w:pPr>
      <w:r>
        <w:t>Управление качеством осуществляется Программой Организации Объединенных Наций по окружающей среде (ЮНЕП) совместно с Международной группой по ресурсам (IRP) с использованием Глобального руководства по учету материальных потоков в масштабах всей экономики</w:t>
      </w:r>
      <w:r w:rsidRPr="008A0E87">
        <w:t xml:space="preserve"> </w:t>
      </w:r>
      <w:r>
        <w:t>(ЮНЕП, 2021 год).</w:t>
      </w:r>
    </w:p>
    <w:p w14:paraId="1285E4F9" w14:textId="77777777" w:rsidR="00AF6A35" w:rsidRDefault="00AF6A35" w:rsidP="00AF6A3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Pr="00A343D5">
        <w:rPr>
          <w:color w:val="auto"/>
          <w:sz w:val="24"/>
          <w:szCs w:val="24"/>
          <w:lang w:val="ru-RU"/>
        </w:rPr>
        <w:t xml:space="preserve">. </w:t>
      </w:r>
      <w:r w:rsidRPr="00A343D5">
        <w:rPr>
          <w:b/>
          <w:color w:val="auto"/>
          <w:sz w:val="24"/>
          <w:szCs w:val="24"/>
          <w:lang w:val="ru-RU"/>
        </w:rPr>
        <w:t>Обеспечение качества</w:t>
      </w:r>
    </w:p>
    <w:p w14:paraId="35ADCFD7" w14:textId="77777777" w:rsidR="00AF6A35" w:rsidRPr="00451C21" w:rsidRDefault="00AF6A35" w:rsidP="00AF6A35">
      <w:pPr>
        <w:pStyle w:val="MText"/>
        <w:rPr>
          <w:color w:val="auto"/>
          <w:sz w:val="24"/>
          <w:szCs w:val="24"/>
          <w:lang w:val="ru-RU"/>
        </w:rPr>
      </w:pPr>
      <w:r w:rsidRPr="001B4CF9">
        <w:rPr>
          <w:color w:val="auto"/>
          <w:sz w:val="24"/>
          <w:szCs w:val="24"/>
          <w:lang w:val="ru-RU"/>
        </w:rPr>
        <w:t>Гарантия качества обеспечивается Программой Организации Объединенных Наций по окружающей среде (ЮНЕП) совместно с Международной группой по ресурсам (IRP) с использованием Глобального руководства по учету материальных потоков в масштабах всей экономики</w:t>
      </w:r>
      <w:r>
        <w:rPr>
          <w:color w:val="auto"/>
          <w:sz w:val="24"/>
          <w:szCs w:val="24"/>
          <w:lang w:val="ru-RU"/>
        </w:rPr>
        <w:t xml:space="preserve"> </w:t>
      </w:r>
      <w:r w:rsidRPr="001B4CF9">
        <w:rPr>
          <w:color w:val="auto"/>
          <w:sz w:val="24"/>
          <w:szCs w:val="24"/>
          <w:lang w:val="ru-RU"/>
        </w:rPr>
        <w:t>(ЮНЕП, 2021 год).</w:t>
      </w:r>
    </w:p>
    <w:p w14:paraId="680B4B76" w14:textId="77777777" w:rsidR="00AF6A35" w:rsidRDefault="00AF6A35" w:rsidP="00AF6A35">
      <w:pPr>
        <w:pStyle w:val="MText"/>
        <w:rPr>
          <w:color w:val="auto"/>
          <w:sz w:val="24"/>
          <w:szCs w:val="24"/>
          <w:lang w:val="ru-RU"/>
        </w:rPr>
      </w:pPr>
      <w:r w:rsidRPr="00A343D5">
        <w:rPr>
          <w:color w:val="auto"/>
          <w:sz w:val="24"/>
          <w:szCs w:val="24"/>
          <w:lang w:val="ru-RU"/>
        </w:rPr>
        <w:t>4.</w:t>
      </w:r>
      <w:r w:rsidRPr="00A343D5">
        <w:rPr>
          <w:color w:val="auto"/>
          <w:sz w:val="24"/>
          <w:szCs w:val="24"/>
        </w:rPr>
        <w:t>k</w:t>
      </w:r>
      <w:r w:rsidRPr="00A343D5">
        <w:rPr>
          <w:color w:val="auto"/>
          <w:sz w:val="24"/>
          <w:szCs w:val="24"/>
          <w:lang w:val="ru-RU"/>
        </w:rPr>
        <w:t xml:space="preserve">. </w:t>
      </w:r>
      <w:r w:rsidRPr="00A343D5">
        <w:rPr>
          <w:b/>
          <w:color w:val="auto"/>
          <w:sz w:val="24"/>
          <w:szCs w:val="24"/>
          <w:lang w:val="ru-RU"/>
        </w:rPr>
        <w:t>Оценка качества</w:t>
      </w:r>
      <w:r w:rsidRPr="00A343D5">
        <w:rPr>
          <w:color w:val="auto"/>
          <w:sz w:val="24"/>
          <w:szCs w:val="24"/>
          <w:lang w:val="ru-RU"/>
        </w:rPr>
        <w:t xml:space="preserve"> </w:t>
      </w:r>
    </w:p>
    <w:p w14:paraId="145ADE56" w14:textId="77777777" w:rsidR="00AF6A35" w:rsidRDefault="00AF6A35" w:rsidP="00AF6A35">
      <w:pPr>
        <w:pStyle w:val="MText"/>
        <w:rPr>
          <w:color w:val="auto"/>
          <w:sz w:val="24"/>
          <w:szCs w:val="24"/>
          <w:lang w:val="ru-RU"/>
        </w:rPr>
      </w:pPr>
      <w:r w:rsidRPr="001B4CF9">
        <w:rPr>
          <w:color w:val="auto"/>
          <w:sz w:val="24"/>
          <w:szCs w:val="24"/>
          <w:lang w:val="ru-RU"/>
        </w:rPr>
        <w:t>Оценка качества проводится Программой Организации Объединенных Наций по окружающей среде (ЮНЕП) совместно с Международной группой по ресурсам (IRP) в консультации со странами (назначенными координаторами) после получения их отзывов о глобальных оценочных показателях</w:t>
      </w:r>
      <w:r>
        <w:rPr>
          <w:color w:val="auto"/>
          <w:sz w:val="24"/>
          <w:szCs w:val="24"/>
          <w:lang w:val="ru-RU"/>
        </w:rPr>
        <w:t>.</w:t>
      </w:r>
    </w:p>
    <w:p w14:paraId="7D10555E" w14:textId="77777777" w:rsidR="00AF6A35" w:rsidRPr="00A343D5" w:rsidRDefault="00AF6A35" w:rsidP="00AF6A35">
      <w:pPr>
        <w:pStyle w:val="MHeader"/>
        <w:spacing w:after="100"/>
        <w:rPr>
          <w:b/>
          <w:color w:val="auto"/>
          <w:sz w:val="24"/>
          <w:szCs w:val="24"/>
          <w:lang w:val="ru-RU"/>
        </w:rPr>
      </w:pPr>
      <w:r w:rsidRPr="00EA60C7">
        <w:rPr>
          <w:b/>
          <w:color w:val="auto"/>
          <w:sz w:val="24"/>
          <w:szCs w:val="24"/>
          <w:lang w:val="ru-RU"/>
        </w:rPr>
        <w:t xml:space="preserve">5. Доступность и </w:t>
      </w:r>
      <w:proofErr w:type="spellStart"/>
      <w:r w:rsidRPr="00EA60C7">
        <w:rPr>
          <w:b/>
          <w:color w:val="auto"/>
          <w:sz w:val="24"/>
          <w:szCs w:val="24"/>
          <w:lang w:val="ru-RU"/>
        </w:rPr>
        <w:t>дезагрегирование</w:t>
      </w:r>
      <w:proofErr w:type="spellEnd"/>
      <w:r w:rsidRPr="00EA60C7">
        <w:rPr>
          <w:b/>
          <w:color w:val="auto"/>
          <w:sz w:val="24"/>
          <w:szCs w:val="24"/>
          <w:lang w:val="ru-RU"/>
        </w:rPr>
        <w:t xml:space="preserve"> данных</w:t>
      </w:r>
    </w:p>
    <w:p w14:paraId="76A7E5F7" w14:textId="77777777" w:rsidR="00AF6A35" w:rsidRPr="00F847B2" w:rsidRDefault="00AF6A35" w:rsidP="00AF6A35">
      <w:pPr>
        <w:rPr>
          <w:b/>
        </w:rPr>
      </w:pPr>
      <w:r w:rsidRPr="00F847B2">
        <w:rPr>
          <w:b/>
        </w:rPr>
        <w:t>Доступность данных:</w:t>
      </w:r>
    </w:p>
    <w:p w14:paraId="222E2773" w14:textId="77777777" w:rsidR="00AF6A35" w:rsidRPr="00DE5549" w:rsidRDefault="00AF6A35" w:rsidP="00AF6A35">
      <w:r w:rsidRPr="00DE5549">
        <w:lastRenderedPageBreak/>
        <w:t>Данные охватывают более 1</w:t>
      </w:r>
      <w:r>
        <w:t>93</w:t>
      </w:r>
      <w:r w:rsidRPr="00DE5549">
        <w:t xml:space="preserve"> стран</w:t>
      </w:r>
      <w:r>
        <w:t xml:space="preserve"> </w:t>
      </w:r>
      <w:r w:rsidRPr="00B22AF3">
        <w:t>(либо глобальные оценки, либо данные по странам).</w:t>
      </w:r>
    </w:p>
    <w:p w14:paraId="5FAC1DD9" w14:textId="77777777" w:rsidR="00AF6A35" w:rsidRPr="00F847B2" w:rsidRDefault="00AF6A35" w:rsidP="00AF6A35">
      <w:pPr>
        <w:rPr>
          <w:b/>
        </w:rPr>
      </w:pPr>
      <w:r w:rsidRPr="00F847B2">
        <w:rPr>
          <w:b/>
        </w:rPr>
        <w:t>Временные ряды:</w:t>
      </w:r>
    </w:p>
    <w:p w14:paraId="6901FB13" w14:textId="77777777" w:rsidR="00AF6A35" w:rsidRDefault="00AF6A35" w:rsidP="00AF6A35">
      <w:r w:rsidRPr="00B22AF3">
        <w:t xml:space="preserve">Набор данных, представленный в базе данных ЦУР, охватывает период в 20 лет (2000-2019). Международная группа по ресурсам (IRP) публикует оценочные ряды данных за 1970-2019 годы на своем веб-сайте. </w:t>
      </w:r>
    </w:p>
    <w:p w14:paraId="0C0A01AA" w14:textId="77777777" w:rsidR="00AF6A35" w:rsidRPr="00F847B2" w:rsidRDefault="00AF6A35" w:rsidP="00AF6A35">
      <w:pPr>
        <w:rPr>
          <w:b/>
        </w:rPr>
      </w:pPr>
      <w:r w:rsidRPr="00F847B2">
        <w:rPr>
          <w:b/>
        </w:rPr>
        <w:t>Дезагрегация:</w:t>
      </w:r>
    </w:p>
    <w:p w14:paraId="76EE9099" w14:textId="77777777" w:rsidR="00AF6A35" w:rsidRDefault="00AF6A35" w:rsidP="00AF6A35">
      <w:pPr>
        <w:spacing w:after="120" w:line="240" w:lineRule="auto"/>
        <w:rPr>
          <w:rFonts w:eastAsia="Times New Roman" w:cs="Times New Roman"/>
          <w:color w:val="000000"/>
          <w:szCs w:val="24"/>
          <w:lang w:eastAsia="ru-RU"/>
        </w:rPr>
      </w:pPr>
      <w:r>
        <w:rPr>
          <w:rFonts w:eastAsia="Times New Roman" w:cs="Times New Roman"/>
          <w:color w:val="000000"/>
          <w:szCs w:val="24"/>
          <w:lang w:eastAsia="ru-RU"/>
        </w:rPr>
        <w:t xml:space="preserve">Показатель DMC может быть дезагрегирован </w:t>
      </w:r>
      <w:r w:rsidRPr="00FE02DA">
        <w:rPr>
          <w:rFonts w:eastAsia="Times New Roman" w:cs="Times New Roman"/>
          <w:color w:val="000000"/>
          <w:szCs w:val="24"/>
          <w:lang w:eastAsia="ru-RU"/>
        </w:rPr>
        <w:t>по основным категориям материалов</w:t>
      </w:r>
      <w:r>
        <w:rPr>
          <w:rFonts w:eastAsia="Times New Roman" w:cs="Times New Roman"/>
          <w:color w:val="000000"/>
          <w:szCs w:val="24"/>
          <w:lang w:eastAsia="ru-RU"/>
        </w:rPr>
        <w:t xml:space="preserve"> </w:t>
      </w:r>
      <w:r w:rsidRPr="00FE02DA">
        <w:rPr>
          <w:rFonts w:eastAsia="Times New Roman" w:cs="Times New Roman"/>
          <w:color w:val="000000"/>
          <w:szCs w:val="24"/>
          <w:lang w:eastAsia="ru-RU"/>
        </w:rPr>
        <w:t>(биомасса, ископаемое топливо, металлические руды и неметаллические минералы).</w:t>
      </w:r>
    </w:p>
    <w:p w14:paraId="392E467A" w14:textId="77777777" w:rsidR="00AF6A35" w:rsidRDefault="00AF6A35" w:rsidP="00AF6A35">
      <w:pPr>
        <w:pStyle w:val="MHeader"/>
        <w:spacing w:after="100"/>
        <w:rPr>
          <w:b/>
          <w:color w:val="auto"/>
          <w:sz w:val="24"/>
          <w:szCs w:val="24"/>
          <w:lang w:val="ru-RU"/>
        </w:rPr>
      </w:pPr>
      <w:r w:rsidRPr="00A343D5">
        <w:rPr>
          <w:b/>
          <w:color w:val="auto"/>
          <w:sz w:val="24"/>
          <w:szCs w:val="24"/>
          <w:lang w:val="ru-RU"/>
        </w:rPr>
        <w:t>6. Сопоставимость / отклонение от международных стандартов</w:t>
      </w:r>
    </w:p>
    <w:p w14:paraId="3F528AC4" w14:textId="77777777" w:rsidR="00AF6A35" w:rsidRDefault="00AF6A35" w:rsidP="00AF6A35">
      <w:pPr>
        <w:pStyle w:val="a0"/>
      </w:pPr>
      <w:proofErr w:type="gramStart"/>
      <w:r w:rsidRPr="00ED3E37">
        <w:t>Совокупное внутреннее материальное потребление (</w:t>
      </w:r>
      <w:r>
        <w:t>DMC</w:t>
      </w:r>
      <w:r w:rsidRPr="00ED3E37">
        <w:t>) рассчитывается в соответствии с международными стандартами, рекомендациями и классификациями, такими как Система национальных счетов 2008 года, Система эколого-экономического учета – Центральная структура 2012 года, Платежный баланс и международная инвестиционная позиция, Международная стандартная отраслевая классификация всех видов экономической деятельности (</w:t>
      </w:r>
      <w:r w:rsidRPr="00982E04">
        <w:t>ISIC</w:t>
      </w:r>
      <w:r w:rsidRPr="00ED3E37">
        <w:t xml:space="preserve">), Классификация основных продуктов </w:t>
      </w:r>
      <w:r>
        <w:t>(</w:t>
      </w:r>
      <w:r w:rsidRPr="00F4339A">
        <w:t>CPC</w:t>
      </w:r>
      <w:r>
        <w:t>)</w:t>
      </w:r>
      <w:r w:rsidRPr="00ED3E37">
        <w:t xml:space="preserve"> и Основы для разработки статистики окружающей среды.</w:t>
      </w:r>
      <w:proofErr w:type="gramEnd"/>
    </w:p>
    <w:p w14:paraId="5CA24FE0" w14:textId="77777777" w:rsidR="00AF6A35" w:rsidRDefault="00AF6A35" w:rsidP="00AF6A35">
      <w:pPr>
        <w:pStyle w:val="MHeader"/>
        <w:spacing w:after="100"/>
        <w:rPr>
          <w:rFonts w:eastAsiaTheme="minorHAnsi" w:cstheme="minorBidi"/>
          <w:color w:val="auto"/>
          <w:sz w:val="24"/>
          <w:szCs w:val="22"/>
          <w:lang w:val="ru-RU" w:eastAsia="en-US"/>
        </w:rPr>
      </w:pPr>
    </w:p>
    <w:p w14:paraId="59DF39F0" w14:textId="77777777" w:rsidR="00AF6A35" w:rsidRPr="006A3F9F" w:rsidRDefault="00AF6A35" w:rsidP="00AF6A35">
      <w:pPr>
        <w:pStyle w:val="MHeader"/>
        <w:spacing w:after="100"/>
        <w:rPr>
          <w:rFonts w:eastAsiaTheme="minorHAnsi" w:cstheme="minorBidi"/>
          <w:b/>
          <w:color w:val="auto"/>
          <w:sz w:val="24"/>
          <w:szCs w:val="22"/>
          <w:lang w:val="ru-RU" w:eastAsia="en-US"/>
        </w:rPr>
      </w:pPr>
      <w:r w:rsidRPr="006A3F9F">
        <w:rPr>
          <w:rFonts w:eastAsiaTheme="minorHAnsi" w:cstheme="minorBidi"/>
          <w:b/>
          <w:color w:val="auto"/>
          <w:sz w:val="24"/>
          <w:szCs w:val="22"/>
          <w:lang w:val="ru-RU" w:eastAsia="en-US"/>
        </w:rPr>
        <w:t>Источники расхождений:</w:t>
      </w:r>
    </w:p>
    <w:p w14:paraId="63BE85CD" w14:textId="77777777" w:rsidR="00AF6A35" w:rsidRPr="00ED3E37" w:rsidRDefault="00AF6A35" w:rsidP="00AF6A35">
      <w:pPr>
        <w:pStyle w:val="MHeader"/>
        <w:spacing w:after="100"/>
        <w:rPr>
          <w:rFonts w:eastAsiaTheme="minorHAnsi" w:cstheme="minorBidi"/>
          <w:color w:val="auto"/>
          <w:sz w:val="24"/>
          <w:szCs w:val="22"/>
          <w:lang w:val="ru-RU" w:eastAsia="en-US"/>
        </w:rPr>
      </w:pPr>
      <w:r w:rsidRPr="000B78B5">
        <w:rPr>
          <w:rFonts w:eastAsiaTheme="minorHAnsi" w:cstheme="minorBidi"/>
          <w:color w:val="auto"/>
          <w:sz w:val="24"/>
          <w:szCs w:val="22"/>
          <w:lang w:val="ru-RU" w:eastAsia="en-US"/>
        </w:rPr>
        <w:t>Не</w:t>
      </w:r>
      <w:r w:rsidRPr="00DC6A22">
        <w:rPr>
          <w:rFonts w:eastAsiaTheme="minorHAnsi" w:cstheme="minorBidi"/>
          <w:color w:val="auto"/>
          <w:sz w:val="24"/>
          <w:szCs w:val="22"/>
          <w:lang w:val="ru-RU" w:eastAsia="en-US"/>
        </w:rPr>
        <w:t xml:space="preserve"> </w:t>
      </w:r>
      <w:r w:rsidRPr="000B78B5">
        <w:rPr>
          <w:rFonts w:eastAsiaTheme="minorHAnsi" w:cstheme="minorBidi"/>
          <w:color w:val="auto"/>
          <w:sz w:val="24"/>
          <w:szCs w:val="22"/>
          <w:lang w:val="ru-RU" w:eastAsia="en-US"/>
        </w:rPr>
        <w:t>п</w:t>
      </w:r>
      <w:r>
        <w:rPr>
          <w:rFonts w:eastAsiaTheme="minorHAnsi" w:cstheme="minorBidi"/>
          <w:color w:val="auto"/>
          <w:sz w:val="24"/>
          <w:szCs w:val="22"/>
          <w:lang w:val="ru-RU" w:eastAsia="en-US"/>
        </w:rPr>
        <w:t>рименимо</w:t>
      </w:r>
      <w:r w:rsidRPr="00DC6A22">
        <w:rPr>
          <w:rFonts w:eastAsiaTheme="minorHAnsi" w:cstheme="minorBidi"/>
          <w:color w:val="auto"/>
          <w:sz w:val="24"/>
          <w:szCs w:val="22"/>
          <w:lang w:val="ru-RU" w:eastAsia="en-US"/>
        </w:rPr>
        <w:t>.</w:t>
      </w:r>
    </w:p>
    <w:p w14:paraId="1F1FEC9B" w14:textId="77777777" w:rsidR="00AF6A35" w:rsidRPr="00547F84" w:rsidRDefault="00AF6A35" w:rsidP="00AF6A35">
      <w:pPr>
        <w:pStyle w:val="MHeader"/>
        <w:spacing w:after="100"/>
        <w:rPr>
          <w:rFonts w:eastAsiaTheme="minorHAnsi" w:cstheme="minorBidi"/>
          <w:color w:val="auto"/>
          <w:sz w:val="24"/>
          <w:szCs w:val="22"/>
          <w:lang w:val="ru-RU" w:eastAsia="en-US"/>
        </w:rPr>
      </w:pPr>
    </w:p>
    <w:p w14:paraId="26C4B5B3" w14:textId="77777777" w:rsidR="00AF6A35" w:rsidRPr="00FE734E" w:rsidRDefault="00AF6A35" w:rsidP="00AF6A35">
      <w:pPr>
        <w:pBdr>
          <w:bottom w:val="single" w:sz="12" w:space="4" w:color="DDDDDD"/>
        </w:pBdr>
        <w:shd w:val="clear" w:color="auto" w:fill="FFFFFF"/>
        <w:spacing w:after="100"/>
        <w:outlineLvl w:val="2"/>
        <w:rPr>
          <w:lang w:eastAsia="en-GB"/>
        </w:rPr>
      </w:pPr>
      <w:r w:rsidRPr="00FE734E">
        <w:rPr>
          <w:rFonts w:eastAsia="Times New Roman" w:cs="Times New Roman"/>
          <w:b/>
          <w:szCs w:val="24"/>
          <w:lang w:eastAsia="en-GB"/>
        </w:rPr>
        <w:t xml:space="preserve">7. </w:t>
      </w:r>
      <w:r w:rsidRPr="00A343D5">
        <w:rPr>
          <w:rFonts w:eastAsia="Times New Roman" w:cs="Times New Roman"/>
          <w:b/>
          <w:szCs w:val="24"/>
          <w:lang w:eastAsia="en-GB"/>
        </w:rPr>
        <w:t>Ссылки</w:t>
      </w:r>
      <w:r w:rsidRPr="00FE734E">
        <w:rPr>
          <w:rFonts w:eastAsia="Times New Roman" w:cs="Times New Roman"/>
          <w:b/>
          <w:szCs w:val="24"/>
          <w:lang w:eastAsia="en-GB"/>
        </w:rPr>
        <w:t xml:space="preserve"> </w:t>
      </w:r>
      <w:r w:rsidRPr="00A343D5">
        <w:rPr>
          <w:rFonts w:eastAsia="Times New Roman" w:cs="Times New Roman"/>
          <w:b/>
          <w:szCs w:val="24"/>
          <w:lang w:eastAsia="en-GB"/>
        </w:rPr>
        <w:t>и</w:t>
      </w:r>
      <w:r w:rsidRPr="00FE734E">
        <w:rPr>
          <w:rFonts w:eastAsia="Times New Roman" w:cs="Times New Roman"/>
          <w:b/>
          <w:szCs w:val="24"/>
          <w:lang w:eastAsia="en-GB"/>
        </w:rPr>
        <w:t xml:space="preserve"> </w:t>
      </w:r>
      <w:r w:rsidRPr="00A343D5">
        <w:rPr>
          <w:rFonts w:eastAsia="Times New Roman" w:cs="Times New Roman"/>
          <w:b/>
          <w:szCs w:val="24"/>
          <w:lang w:eastAsia="en-GB"/>
        </w:rPr>
        <w:t>документы</w:t>
      </w:r>
    </w:p>
    <w:p w14:paraId="637B6120" w14:textId="77777777" w:rsidR="00AF6A35" w:rsidRPr="005C4A5A" w:rsidRDefault="00AF6A35" w:rsidP="00AF6A35">
      <w:pPr>
        <w:rPr>
          <w:b/>
          <w:lang w:val="en-US" w:eastAsia="en-GB"/>
        </w:rPr>
      </w:pPr>
      <w:r w:rsidRPr="005C4A5A">
        <w:rPr>
          <w:b/>
          <w:lang w:val="en-US" w:eastAsia="en-GB"/>
        </w:rPr>
        <w:t>URL:</w:t>
      </w:r>
    </w:p>
    <w:p w14:paraId="0F4A054F" w14:textId="77777777" w:rsidR="00AF6A35" w:rsidRPr="00B00AAF" w:rsidRDefault="00AF6A35" w:rsidP="00AF6A35">
      <w:pPr>
        <w:rPr>
          <w:lang w:eastAsia="en-GB"/>
        </w:rPr>
      </w:pPr>
      <w:r w:rsidRPr="005C4A5A">
        <w:rPr>
          <w:lang w:val="en-US" w:eastAsia="en-GB"/>
        </w:rPr>
        <w:t xml:space="preserve">UNEP (2021), </w:t>
      </w:r>
      <w:proofErr w:type="gramStart"/>
      <w:r w:rsidRPr="005C4A5A">
        <w:rPr>
          <w:lang w:val="en-US" w:eastAsia="en-GB"/>
        </w:rPr>
        <w:t>The</w:t>
      </w:r>
      <w:proofErr w:type="gramEnd"/>
      <w:r w:rsidRPr="005C4A5A">
        <w:rPr>
          <w:lang w:val="en-US" w:eastAsia="en-GB"/>
        </w:rPr>
        <w:t xml:space="preserve"> use of National Resources in the Economy: </w:t>
      </w:r>
      <w:r>
        <w:rPr>
          <w:lang w:val="en-US" w:eastAsia="en-GB"/>
        </w:rPr>
        <w:t>a Global Manual on Economy Wide</w:t>
      </w:r>
      <w:r w:rsidRPr="00F4339A">
        <w:rPr>
          <w:lang w:val="en-US" w:eastAsia="en-GB"/>
        </w:rPr>
        <w:t> </w:t>
      </w:r>
      <w:r>
        <w:rPr>
          <w:lang w:val="en-US" w:eastAsia="en-GB"/>
        </w:rPr>
        <w:t>Material</w:t>
      </w:r>
      <w:r w:rsidRPr="00F4339A">
        <w:rPr>
          <w:lang w:val="en-US" w:eastAsia="en-GB"/>
        </w:rPr>
        <w:t> </w:t>
      </w:r>
      <w:r>
        <w:rPr>
          <w:lang w:val="en-US" w:eastAsia="en-GB"/>
        </w:rPr>
        <w:t>Flow</w:t>
      </w:r>
      <w:r w:rsidRPr="00F4339A">
        <w:rPr>
          <w:lang w:val="en-US" w:eastAsia="en-GB"/>
        </w:rPr>
        <w:t> </w:t>
      </w:r>
      <w:r w:rsidRPr="005C4A5A">
        <w:rPr>
          <w:lang w:val="en-US" w:eastAsia="en-GB"/>
        </w:rPr>
        <w:t xml:space="preserve">Accounting. </w:t>
      </w:r>
      <w:hyperlink r:id="rId14" w:history="1">
        <w:r w:rsidRPr="0040753F">
          <w:rPr>
            <w:rStyle w:val="ad"/>
            <w:lang w:val="en-US" w:eastAsia="en-GB"/>
          </w:rPr>
          <w:t>https</w:t>
        </w:r>
        <w:r w:rsidRPr="00B00AAF">
          <w:rPr>
            <w:rStyle w:val="ad"/>
            <w:lang w:eastAsia="en-GB"/>
          </w:rPr>
          <w:t>://</w:t>
        </w:r>
        <w:proofErr w:type="spellStart"/>
        <w:r w:rsidRPr="0040753F">
          <w:rPr>
            <w:rStyle w:val="ad"/>
            <w:lang w:val="en-US" w:eastAsia="en-GB"/>
          </w:rPr>
          <w:t>wedocs</w:t>
        </w:r>
        <w:proofErr w:type="spellEnd"/>
        <w:r w:rsidRPr="00B00AAF">
          <w:rPr>
            <w:rStyle w:val="ad"/>
            <w:lang w:eastAsia="en-GB"/>
          </w:rPr>
          <w:t>.</w:t>
        </w:r>
        <w:proofErr w:type="spellStart"/>
        <w:r w:rsidRPr="0040753F">
          <w:rPr>
            <w:rStyle w:val="ad"/>
            <w:lang w:val="en-US" w:eastAsia="en-GB"/>
          </w:rPr>
          <w:t>unep</w:t>
        </w:r>
        <w:proofErr w:type="spellEnd"/>
        <w:r w:rsidRPr="00B00AAF">
          <w:rPr>
            <w:rStyle w:val="ad"/>
            <w:lang w:eastAsia="en-GB"/>
          </w:rPr>
          <w:t>.</w:t>
        </w:r>
        <w:r w:rsidRPr="0040753F">
          <w:rPr>
            <w:rStyle w:val="ad"/>
            <w:lang w:val="en-US" w:eastAsia="en-GB"/>
          </w:rPr>
          <w:t>org</w:t>
        </w:r>
        <w:r w:rsidRPr="00B00AAF">
          <w:rPr>
            <w:rStyle w:val="ad"/>
            <w:lang w:eastAsia="en-GB"/>
          </w:rPr>
          <w:t>/</w:t>
        </w:r>
        <w:proofErr w:type="spellStart"/>
        <w:r w:rsidRPr="0040753F">
          <w:rPr>
            <w:rStyle w:val="ad"/>
            <w:lang w:val="en-US" w:eastAsia="en-GB"/>
          </w:rPr>
          <w:t>bitstream</w:t>
        </w:r>
        <w:proofErr w:type="spellEnd"/>
        <w:r w:rsidRPr="00B00AAF">
          <w:rPr>
            <w:rStyle w:val="ad"/>
            <w:lang w:eastAsia="en-GB"/>
          </w:rPr>
          <w:t>/</w:t>
        </w:r>
        <w:r w:rsidRPr="0040753F">
          <w:rPr>
            <w:rStyle w:val="ad"/>
            <w:lang w:val="en-US" w:eastAsia="en-GB"/>
          </w:rPr>
          <w:t>handle</w:t>
        </w:r>
        <w:r w:rsidRPr="00B00AAF">
          <w:rPr>
            <w:rStyle w:val="ad"/>
            <w:lang w:eastAsia="en-GB"/>
          </w:rPr>
          <w:t>/20.500.11822/36253/</w:t>
        </w:r>
        <w:r w:rsidRPr="0040753F">
          <w:rPr>
            <w:rStyle w:val="ad"/>
            <w:lang w:val="en-US" w:eastAsia="en-GB"/>
          </w:rPr>
          <w:t>UNRE</w:t>
        </w:r>
        <w:r w:rsidRPr="00B00AAF">
          <w:rPr>
            <w:rStyle w:val="ad"/>
            <w:lang w:eastAsia="en-GB"/>
          </w:rPr>
          <w:t>.</w:t>
        </w:r>
        <w:r w:rsidRPr="0040753F">
          <w:rPr>
            <w:rStyle w:val="ad"/>
            <w:lang w:val="en-US" w:eastAsia="en-GB"/>
          </w:rPr>
          <w:t>pdf</w:t>
        </w:r>
        <w:r w:rsidRPr="00B00AAF">
          <w:rPr>
            <w:rStyle w:val="ad"/>
            <w:lang w:eastAsia="en-GB"/>
          </w:rPr>
          <w:t>?</w:t>
        </w:r>
        <w:r w:rsidRPr="0040753F">
          <w:rPr>
            <w:rStyle w:val="ad"/>
            <w:lang w:val="en-US" w:eastAsia="en-GB"/>
          </w:rPr>
          <w:t>sequence</w:t>
        </w:r>
        <w:r w:rsidRPr="00B00AAF">
          <w:rPr>
            <w:rStyle w:val="ad"/>
            <w:lang w:eastAsia="en-GB"/>
          </w:rPr>
          <w:t>=3&amp;</w:t>
        </w:r>
        <w:proofErr w:type="spellStart"/>
        <w:r w:rsidRPr="0040753F">
          <w:rPr>
            <w:rStyle w:val="ad"/>
            <w:lang w:val="en-US" w:eastAsia="en-GB"/>
          </w:rPr>
          <w:t>isAllowed</w:t>
        </w:r>
        <w:proofErr w:type="spellEnd"/>
        <w:r w:rsidRPr="00B00AAF">
          <w:rPr>
            <w:rStyle w:val="ad"/>
            <w:lang w:eastAsia="en-GB"/>
          </w:rPr>
          <w:t>=</w:t>
        </w:r>
        <w:r w:rsidRPr="0040753F">
          <w:rPr>
            <w:rStyle w:val="ad"/>
            <w:lang w:val="en-US" w:eastAsia="en-GB"/>
          </w:rPr>
          <w:t>y</w:t>
        </w:r>
      </w:hyperlink>
    </w:p>
    <w:p w14:paraId="25BA64C5" w14:textId="77777777" w:rsidR="00AF6A35" w:rsidRPr="005C4A5A" w:rsidRDefault="00AF6A35" w:rsidP="00AF6A35">
      <w:pPr>
        <w:rPr>
          <w:b/>
          <w:lang w:val="en-US" w:eastAsia="en-GB"/>
        </w:rPr>
      </w:pPr>
      <w:r w:rsidRPr="005C4A5A">
        <w:rPr>
          <w:b/>
          <w:lang w:val="en-US" w:eastAsia="en-GB"/>
        </w:rPr>
        <w:t>References:</w:t>
      </w:r>
    </w:p>
    <w:p w14:paraId="7AB88E76" w14:textId="77777777" w:rsidR="00AF6A35" w:rsidRPr="005C4A5A" w:rsidRDefault="00AF6A35" w:rsidP="00AF6A35">
      <w:pPr>
        <w:rPr>
          <w:lang w:val="en-US" w:eastAsia="en-GB"/>
        </w:rPr>
      </w:pPr>
      <w:proofErr w:type="gramStart"/>
      <w:r w:rsidRPr="005C4A5A">
        <w:rPr>
          <w:lang w:val="en-US" w:eastAsia="en-GB"/>
        </w:rPr>
        <w:t>EUROSTAT (2013).</w:t>
      </w:r>
      <w:proofErr w:type="gramEnd"/>
      <w:r w:rsidRPr="005C4A5A">
        <w:rPr>
          <w:lang w:val="en-US" w:eastAsia="en-GB"/>
        </w:rPr>
        <w:t xml:space="preserve"> </w:t>
      </w:r>
      <w:proofErr w:type="gramStart"/>
      <w:r w:rsidRPr="005C4A5A">
        <w:rPr>
          <w:lang w:val="en-US" w:eastAsia="en-GB"/>
        </w:rPr>
        <w:t>Economy-Wide Material Flow Accounts.</w:t>
      </w:r>
      <w:proofErr w:type="gramEnd"/>
      <w:r w:rsidRPr="005C4A5A">
        <w:rPr>
          <w:lang w:val="en-US" w:eastAsia="en-GB"/>
        </w:rPr>
        <w:t xml:space="preserve"> Compilation Guide 2013: </w:t>
      </w:r>
      <w:hyperlink r:id="rId15" w:history="1">
        <w:r w:rsidRPr="0040753F">
          <w:rPr>
            <w:rStyle w:val="ad"/>
            <w:lang w:val="en-US" w:eastAsia="en-GB"/>
          </w:rPr>
          <w:t>https://ec.europa.eu/eurostat/documents/1798247/6191533/2013-EW-MFA-Guide-10Sep2013.pdf/54087dfb-1fb0-40f2-b1e4-64ed22ae3f4c</w:t>
        </w:r>
      </w:hyperlink>
    </w:p>
    <w:p w14:paraId="153E4E37" w14:textId="77777777" w:rsidR="00AF6A35" w:rsidRPr="000B0113" w:rsidRDefault="00AF6A35" w:rsidP="00AF6A35">
      <w:pPr>
        <w:rPr>
          <w:lang w:val="en-US" w:eastAsia="en-GB"/>
        </w:rPr>
      </w:pPr>
      <w:proofErr w:type="gramStart"/>
      <w:r w:rsidRPr="005C4A5A">
        <w:rPr>
          <w:lang w:val="en-US" w:eastAsia="en-GB"/>
        </w:rPr>
        <w:t>EUROSTAT (2018).</w:t>
      </w:r>
      <w:proofErr w:type="gramEnd"/>
      <w:r w:rsidRPr="005C4A5A">
        <w:rPr>
          <w:lang w:val="en-US" w:eastAsia="en-GB"/>
        </w:rPr>
        <w:t xml:space="preserve"> The EU Economy-wide material flow accounts handbook 2018: </w:t>
      </w:r>
      <w:hyperlink r:id="rId16" w:history="1">
        <w:r w:rsidRPr="00FF5D45">
          <w:rPr>
            <w:rStyle w:val="ad"/>
            <w:lang w:val="en-US" w:eastAsia="en-GB"/>
          </w:rPr>
          <w:t>https://ec.europa.eu/eurostat/web/products-manuals-and-guidelines/-/KS-GQ-18-006</w:t>
        </w:r>
      </w:hyperlink>
    </w:p>
    <w:p w14:paraId="124B4583" w14:textId="77777777" w:rsidR="00AF6A35" w:rsidRPr="005C4A5A" w:rsidRDefault="00AF6A35" w:rsidP="00AF6A35">
      <w:pPr>
        <w:rPr>
          <w:lang w:val="en-US" w:eastAsia="en-GB"/>
        </w:rPr>
      </w:pPr>
      <w:proofErr w:type="spellStart"/>
      <w:r w:rsidRPr="005C4A5A">
        <w:rPr>
          <w:lang w:val="en-US" w:eastAsia="en-GB"/>
        </w:rPr>
        <w:t>Wiedmann</w:t>
      </w:r>
      <w:proofErr w:type="spellEnd"/>
      <w:r w:rsidRPr="005C4A5A">
        <w:rPr>
          <w:lang w:val="en-US" w:eastAsia="en-GB"/>
        </w:rPr>
        <w:t xml:space="preserve">, T., H. </w:t>
      </w:r>
      <w:proofErr w:type="spellStart"/>
      <w:r w:rsidRPr="005C4A5A">
        <w:rPr>
          <w:lang w:val="en-US" w:eastAsia="en-GB"/>
        </w:rPr>
        <w:t>Schandl</w:t>
      </w:r>
      <w:proofErr w:type="spellEnd"/>
      <w:r w:rsidRPr="005C4A5A">
        <w:rPr>
          <w:lang w:val="en-US" w:eastAsia="en-GB"/>
        </w:rPr>
        <w:t xml:space="preserve">, M. </w:t>
      </w:r>
      <w:proofErr w:type="spellStart"/>
      <w:r w:rsidRPr="005C4A5A">
        <w:rPr>
          <w:lang w:val="en-US" w:eastAsia="en-GB"/>
        </w:rPr>
        <w:t>Lenzen</w:t>
      </w:r>
      <w:proofErr w:type="spellEnd"/>
      <w:r w:rsidRPr="005C4A5A">
        <w:rPr>
          <w:lang w:val="en-US" w:eastAsia="en-GB"/>
        </w:rPr>
        <w:t xml:space="preserve">, D. Moran, S. Suh, J. West, K. </w:t>
      </w:r>
      <w:proofErr w:type="spellStart"/>
      <w:r w:rsidRPr="005C4A5A">
        <w:rPr>
          <w:lang w:val="en-US" w:eastAsia="en-GB"/>
        </w:rPr>
        <w:t>Kanemoto</w:t>
      </w:r>
      <w:proofErr w:type="spellEnd"/>
      <w:r w:rsidRPr="005C4A5A">
        <w:rPr>
          <w:lang w:val="en-US" w:eastAsia="en-GB"/>
        </w:rPr>
        <w:t xml:space="preserve">, (2013) </w:t>
      </w:r>
      <w:proofErr w:type="gramStart"/>
      <w:r w:rsidRPr="005C4A5A">
        <w:rPr>
          <w:lang w:val="en-US" w:eastAsia="en-GB"/>
        </w:rPr>
        <w:t>The</w:t>
      </w:r>
      <w:proofErr w:type="gramEnd"/>
      <w:r w:rsidRPr="005C4A5A">
        <w:rPr>
          <w:lang w:val="en-US" w:eastAsia="en-GB"/>
        </w:rPr>
        <w:t xml:space="preserve"> Material Footprint of Nations, Proc. Nat. </w:t>
      </w:r>
      <w:r w:rsidRPr="00B00AAF">
        <w:rPr>
          <w:lang w:val="en-US" w:eastAsia="en-GB"/>
        </w:rPr>
        <w:t>Acad. Sci. Online before print.</w:t>
      </w:r>
    </w:p>
    <w:p w14:paraId="6BE6A0AC" w14:textId="2DBC99DF" w:rsidR="0049008B" w:rsidRPr="00AF6A35" w:rsidRDefault="00AF6A35" w:rsidP="00CA4583">
      <w:pPr>
        <w:rPr>
          <w:lang w:val="en-US" w:eastAsia="en-GB"/>
        </w:rPr>
      </w:pPr>
      <w:proofErr w:type="spellStart"/>
      <w:r w:rsidRPr="005C4A5A">
        <w:rPr>
          <w:lang w:val="en-US" w:eastAsia="en-GB"/>
        </w:rPr>
        <w:t>Lenzen</w:t>
      </w:r>
      <w:proofErr w:type="spellEnd"/>
      <w:r w:rsidRPr="005C4A5A">
        <w:rPr>
          <w:lang w:val="en-US" w:eastAsia="en-GB"/>
        </w:rPr>
        <w:t xml:space="preserve">, M., Moran, D., </w:t>
      </w:r>
      <w:proofErr w:type="spellStart"/>
      <w:r w:rsidRPr="005C4A5A">
        <w:rPr>
          <w:lang w:val="en-US" w:eastAsia="en-GB"/>
        </w:rPr>
        <w:t>Kanemoto</w:t>
      </w:r>
      <w:proofErr w:type="spellEnd"/>
      <w:r w:rsidRPr="005C4A5A">
        <w:rPr>
          <w:lang w:val="en-US" w:eastAsia="en-GB"/>
        </w:rPr>
        <w:t xml:space="preserve">, K., </w:t>
      </w:r>
      <w:proofErr w:type="spellStart"/>
      <w:r w:rsidRPr="005C4A5A">
        <w:rPr>
          <w:lang w:val="en-US" w:eastAsia="en-GB"/>
        </w:rPr>
        <w:t>Geschke</w:t>
      </w:r>
      <w:proofErr w:type="spellEnd"/>
      <w:r w:rsidRPr="005C4A5A">
        <w:rPr>
          <w:lang w:val="en-US" w:eastAsia="en-GB"/>
        </w:rPr>
        <w:t>, A. (2013) Building Eora: A global Multi-regional Input-Output Database at High Country and Sector Resolution, Economic Systems Research, 25:1, 20-49.</w:t>
      </w:r>
    </w:p>
    <w:sectPr w:rsidR="0049008B" w:rsidRPr="00AF6A35">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F5B0F" w14:textId="77777777" w:rsidR="00945E89" w:rsidRDefault="00945E89" w:rsidP="00F73DBC">
      <w:pPr>
        <w:spacing w:after="0" w:line="240" w:lineRule="auto"/>
      </w:pPr>
      <w:r>
        <w:separator/>
      </w:r>
    </w:p>
  </w:endnote>
  <w:endnote w:type="continuationSeparator" w:id="0">
    <w:p w14:paraId="5F79BD6A" w14:textId="77777777" w:rsidR="00945E89" w:rsidRDefault="00945E89"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B4F1F" w14:textId="77777777" w:rsidR="00945E89" w:rsidRDefault="00945E89" w:rsidP="00F73DBC">
      <w:pPr>
        <w:spacing w:after="0" w:line="240" w:lineRule="auto"/>
      </w:pPr>
      <w:r>
        <w:separator/>
      </w:r>
    </w:p>
  </w:footnote>
  <w:footnote w:type="continuationSeparator" w:id="0">
    <w:p w14:paraId="03079CE9" w14:textId="77777777" w:rsidR="00945E89" w:rsidRDefault="00945E89"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EC97" w14:textId="77777777" w:rsidR="00FE53A5" w:rsidRDefault="00FE53A5" w:rsidP="009508D1">
    <w:pPr>
      <w:pStyle w:val="af"/>
      <w:jc w:val="right"/>
      <w:rPr>
        <w:i/>
      </w:rPr>
    </w:pPr>
    <w:r w:rsidRPr="009508D1">
      <w:rPr>
        <w:i/>
      </w:rPr>
      <w:t>Неофициальный перевод</w:t>
    </w:r>
    <w:r>
      <w:rPr>
        <w:i/>
      </w:rPr>
      <w:t xml:space="preserve"> </w:t>
    </w:r>
  </w:p>
  <w:p w14:paraId="63F73C9D" w14:textId="4295CDB8" w:rsidR="00FE53A5" w:rsidRPr="009508D1" w:rsidRDefault="00FE53A5" w:rsidP="009508D1">
    <w:pPr>
      <w:pStyle w:val="af"/>
      <w:jc w:val="right"/>
    </w:pPr>
    <w:r>
      <w:t>П</w:t>
    </w:r>
    <w:r w:rsidR="00AF6A35">
      <w:t>оследнее обновление: август 202</w:t>
    </w:r>
    <w:r w:rsidR="006F1E22">
      <w:t>3</w:t>
    </w:r>
  </w:p>
  <w:p w14:paraId="1EDD321F" w14:textId="77777777"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D55"/>
    <w:multiLevelType w:val="hybridMultilevel"/>
    <w:tmpl w:val="F2FC5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CF390C"/>
    <w:multiLevelType w:val="hybridMultilevel"/>
    <w:tmpl w:val="72302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E451CE"/>
    <w:multiLevelType w:val="hybridMultilevel"/>
    <w:tmpl w:val="4A5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7"/>
  </w:num>
  <w:num w:numId="6">
    <w:abstractNumId w:val="5"/>
  </w:num>
  <w:num w:numId="7">
    <w:abstractNumId w:val="1"/>
  </w:num>
  <w:num w:numId="8">
    <w:abstractNumId w:val="0"/>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6024"/>
    <w:rsid w:val="0008593B"/>
    <w:rsid w:val="000A210D"/>
    <w:rsid w:val="000A229E"/>
    <w:rsid w:val="000A47E6"/>
    <w:rsid w:val="000C54F2"/>
    <w:rsid w:val="000E4551"/>
    <w:rsid w:val="000E666A"/>
    <w:rsid w:val="000F01DE"/>
    <w:rsid w:val="001010E1"/>
    <w:rsid w:val="00104284"/>
    <w:rsid w:val="00110FE3"/>
    <w:rsid w:val="0011581A"/>
    <w:rsid w:val="00116248"/>
    <w:rsid w:val="00120E95"/>
    <w:rsid w:val="0012168D"/>
    <w:rsid w:val="00122608"/>
    <w:rsid w:val="00122EB7"/>
    <w:rsid w:val="00133E22"/>
    <w:rsid w:val="001373EA"/>
    <w:rsid w:val="00146B30"/>
    <w:rsid w:val="00146FDC"/>
    <w:rsid w:val="001470A2"/>
    <w:rsid w:val="001505DD"/>
    <w:rsid w:val="00151C00"/>
    <w:rsid w:val="00154B9D"/>
    <w:rsid w:val="0015685B"/>
    <w:rsid w:val="001577EB"/>
    <w:rsid w:val="00162B33"/>
    <w:rsid w:val="00165896"/>
    <w:rsid w:val="00176A95"/>
    <w:rsid w:val="001A0336"/>
    <w:rsid w:val="001A163A"/>
    <w:rsid w:val="001B0DDA"/>
    <w:rsid w:val="001D47B7"/>
    <w:rsid w:val="001E2FC9"/>
    <w:rsid w:val="001F2B04"/>
    <w:rsid w:val="00220DFC"/>
    <w:rsid w:val="002451DF"/>
    <w:rsid w:val="00253365"/>
    <w:rsid w:val="002540B1"/>
    <w:rsid w:val="00256B2B"/>
    <w:rsid w:val="00260F56"/>
    <w:rsid w:val="00263E57"/>
    <w:rsid w:val="002B2508"/>
    <w:rsid w:val="002E07D4"/>
    <w:rsid w:val="002E122C"/>
    <w:rsid w:val="002E15F9"/>
    <w:rsid w:val="002E2DAB"/>
    <w:rsid w:val="002F63E5"/>
    <w:rsid w:val="0030083F"/>
    <w:rsid w:val="00303D71"/>
    <w:rsid w:val="003143BC"/>
    <w:rsid w:val="00342801"/>
    <w:rsid w:val="00347912"/>
    <w:rsid w:val="00351952"/>
    <w:rsid w:val="003563A7"/>
    <w:rsid w:val="003569AD"/>
    <w:rsid w:val="003746BC"/>
    <w:rsid w:val="00376FE6"/>
    <w:rsid w:val="00393B97"/>
    <w:rsid w:val="00397764"/>
    <w:rsid w:val="003A389C"/>
    <w:rsid w:val="003B2CF2"/>
    <w:rsid w:val="003B340F"/>
    <w:rsid w:val="003B38A2"/>
    <w:rsid w:val="003E03CC"/>
    <w:rsid w:val="003F20E4"/>
    <w:rsid w:val="004066A3"/>
    <w:rsid w:val="00407E4E"/>
    <w:rsid w:val="004143B4"/>
    <w:rsid w:val="00417234"/>
    <w:rsid w:val="00422DE3"/>
    <w:rsid w:val="0042734C"/>
    <w:rsid w:val="00446A24"/>
    <w:rsid w:val="00453CF8"/>
    <w:rsid w:val="00465587"/>
    <w:rsid w:val="00480D4F"/>
    <w:rsid w:val="0049008B"/>
    <w:rsid w:val="004B638C"/>
    <w:rsid w:val="004B6FA0"/>
    <w:rsid w:val="004D283B"/>
    <w:rsid w:val="004E087E"/>
    <w:rsid w:val="004E6EF5"/>
    <w:rsid w:val="00503093"/>
    <w:rsid w:val="00504CD2"/>
    <w:rsid w:val="005057DC"/>
    <w:rsid w:val="005126D2"/>
    <w:rsid w:val="00513786"/>
    <w:rsid w:val="00514C74"/>
    <w:rsid w:val="00526ADA"/>
    <w:rsid w:val="00526E27"/>
    <w:rsid w:val="00543050"/>
    <w:rsid w:val="00547F84"/>
    <w:rsid w:val="00566ADC"/>
    <w:rsid w:val="00577C9B"/>
    <w:rsid w:val="00577F32"/>
    <w:rsid w:val="0059042F"/>
    <w:rsid w:val="005974D1"/>
    <w:rsid w:val="005A0EA5"/>
    <w:rsid w:val="005C123D"/>
    <w:rsid w:val="005E2ABC"/>
    <w:rsid w:val="005E47BD"/>
    <w:rsid w:val="005F5D78"/>
    <w:rsid w:val="0060643A"/>
    <w:rsid w:val="00607915"/>
    <w:rsid w:val="006120E1"/>
    <w:rsid w:val="00623607"/>
    <w:rsid w:val="006308D5"/>
    <w:rsid w:val="00642663"/>
    <w:rsid w:val="00647C5F"/>
    <w:rsid w:val="00654380"/>
    <w:rsid w:val="006677B0"/>
    <w:rsid w:val="00670C21"/>
    <w:rsid w:val="00670DE0"/>
    <w:rsid w:val="00674E6C"/>
    <w:rsid w:val="006763D1"/>
    <w:rsid w:val="00676DE5"/>
    <w:rsid w:val="00694160"/>
    <w:rsid w:val="00696D77"/>
    <w:rsid w:val="006B260E"/>
    <w:rsid w:val="006B3939"/>
    <w:rsid w:val="006B62E7"/>
    <w:rsid w:val="006C014C"/>
    <w:rsid w:val="006C0984"/>
    <w:rsid w:val="006C3901"/>
    <w:rsid w:val="006D7049"/>
    <w:rsid w:val="006E1235"/>
    <w:rsid w:val="006E5A41"/>
    <w:rsid w:val="006E66FC"/>
    <w:rsid w:val="006F1198"/>
    <w:rsid w:val="006F1E22"/>
    <w:rsid w:val="006F4DA0"/>
    <w:rsid w:val="006F5EC4"/>
    <w:rsid w:val="00702333"/>
    <w:rsid w:val="00704A8D"/>
    <w:rsid w:val="00705161"/>
    <w:rsid w:val="00707E86"/>
    <w:rsid w:val="00711277"/>
    <w:rsid w:val="007235FA"/>
    <w:rsid w:val="007321BB"/>
    <w:rsid w:val="0075371E"/>
    <w:rsid w:val="00766689"/>
    <w:rsid w:val="00780F08"/>
    <w:rsid w:val="0078233F"/>
    <w:rsid w:val="0078726E"/>
    <w:rsid w:val="00791F1F"/>
    <w:rsid w:val="007B0CFD"/>
    <w:rsid w:val="007B0D42"/>
    <w:rsid w:val="007B0DC0"/>
    <w:rsid w:val="007C27E0"/>
    <w:rsid w:val="007C6471"/>
    <w:rsid w:val="007C6FBC"/>
    <w:rsid w:val="007D1185"/>
    <w:rsid w:val="007D49DE"/>
    <w:rsid w:val="007D4F45"/>
    <w:rsid w:val="007D5E35"/>
    <w:rsid w:val="007E6317"/>
    <w:rsid w:val="0080135E"/>
    <w:rsid w:val="00807A22"/>
    <w:rsid w:val="0082082A"/>
    <w:rsid w:val="00821982"/>
    <w:rsid w:val="008501F4"/>
    <w:rsid w:val="00853C09"/>
    <w:rsid w:val="008616D9"/>
    <w:rsid w:val="00871BD0"/>
    <w:rsid w:val="0089043A"/>
    <w:rsid w:val="00891F76"/>
    <w:rsid w:val="00896D91"/>
    <w:rsid w:val="008A3A19"/>
    <w:rsid w:val="008A7431"/>
    <w:rsid w:val="008B47E0"/>
    <w:rsid w:val="008E36D4"/>
    <w:rsid w:val="008F5301"/>
    <w:rsid w:val="00900860"/>
    <w:rsid w:val="009273B4"/>
    <w:rsid w:val="0093367B"/>
    <w:rsid w:val="0094218F"/>
    <w:rsid w:val="00945E89"/>
    <w:rsid w:val="0094718C"/>
    <w:rsid w:val="00947462"/>
    <w:rsid w:val="00947FA7"/>
    <w:rsid w:val="009508D1"/>
    <w:rsid w:val="009558D8"/>
    <w:rsid w:val="00957A62"/>
    <w:rsid w:val="00964BE9"/>
    <w:rsid w:val="00980F79"/>
    <w:rsid w:val="00983CEB"/>
    <w:rsid w:val="009843DD"/>
    <w:rsid w:val="00990634"/>
    <w:rsid w:val="009917DD"/>
    <w:rsid w:val="00995788"/>
    <w:rsid w:val="009B3820"/>
    <w:rsid w:val="009B6CB3"/>
    <w:rsid w:val="009B78A2"/>
    <w:rsid w:val="009D078D"/>
    <w:rsid w:val="009D31AD"/>
    <w:rsid w:val="009E707C"/>
    <w:rsid w:val="009F0769"/>
    <w:rsid w:val="009F4A17"/>
    <w:rsid w:val="00A06695"/>
    <w:rsid w:val="00A1299E"/>
    <w:rsid w:val="00A3418B"/>
    <w:rsid w:val="00A343D5"/>
    <w:rsid w:val="00A41B68"/>
    <w:rsid w:val="00A44394"/>
    <w:rsid w:val="00A56B34"/>
    <w:rsid w:val="00A618FC"/>
    <w:rsid w:val="00A71EC6"/>
    <w:rsid w:val="00A73CA7"/>
    <w:rsid w:val="00A82A69"/>
    <w:rsid w:val="00A8462E"/>
    <w:rsid w:val="00A91FDE"/>
    <w:rsid w:val="00AC112C"/>
    <w:rsid w:val="00AF6A35"/>
    <w:rsid w:val="00B0378B"/>
    <w:rsid w:val="00B179C9"/>
    <w:rsid w:val="00B17F13"/>
    <w:rsid w:val="00B45942"/>
    <w:rsid w:val="00B51BC3"/>
    <w:rsid w:val="00B62ECD"/>
    <w:rsid w:val="00B72F77"/>
    <w:rsid w:val="00B97071"/>
    <w:rsid w:val="00BA05C5"/>
    <w:rsid w:val="00BC622F"/>
    <w:rsid w:val="00BD28B9"/>
    <w:rsid w:val="00BD29EC"/>
    <w:rsid w:val="00BD2BB0"/>
    <w:rsid w:val="00BD7C12"/>
    <w:rsid w:val="00BE4D76"/>
    <w:rsid w:val="00BE70C8"/>
    <w:rsid w:val="00BF42F4"/>
    <w:rsid w:val="00BF60FE"/>
    <w:rsid w:val="00C000B0"/>
    <w:rsid w:val="00C013D8"/>
    <w:rsid w:val="00C1236A"/>
    <w:rsid w:val="00C22DF6"/>
    <w:rsid w:val="00C25229"/>
    <w:rsid w:val="00C34D1D"/>
    <w:rsid w:val="00C645C4"/>
    <w:rsid w:val="00C66AB0"/>
    <w:rsid w:val="00C74767"/>
    <w:rsid w:val="00C83435"/>
    <w:rsid w:val="00C8596F"/>
    <w:rsid w:val="00C909FE"/>
    <w:rsid w:val="00C95868"/>
    <w:rsid w:val="00C9679B"/>
    <w:rsid w:val="00C96C28"/>
    <w:rsid w:val="00CA1CB1"/>
    <w:rsid w:val="00CA4583"/>
    <w:rsid w:val="00CC1B0F"/>
    <w:rsid w:val="00CE0762"/>
    <w:rsid w:val="00CF2434"/>
    <w:rsid w:val="00CF7625"/>
    <w:rsid w:val="00D006C1"/>
    <w:rsid w:val="00D05466"/>
    <w:rsid w:val="00D1082C"/>
    <w:rsid w:val="00D15CDC"/>
    <w:rsid w:val="00D27196"/>
    <w:rsid w:val="00D273C6"/>
    <w:rsid w:val="00D31F63"/>
    <w:rsid w:val="00D40E85"/>
    <w:rsid w:val="00D42DB7"/>
    <w:rsid w:val="00D50F75"/>
    <w:rsid w:val="00D51C14"/>
    <w:rsid w:val="00D54600"/>
    <w:rsid w:val="00D604B3"/>
    <w:rsid w:val="00D62DD3"/>
    <w:rsid w:val="00D636C1"/>
    <w:rsid w:val="00D644B9"/>
    <w:rsid w:val="00D65C2C"/>
    <w:rsid w:val="00D65EF2"/>
    <w:rsid w:val="00D71A86"/>
    <w:rsid w:val="00D83560"/>
    <w:rsid w:val="00D91D5D"/>
    <w:rsid w:val="00DA561D"/>
    <w:rsid w:val="00DB3A18"/>
    <w:rsid w:val="00DB5552"/>
    <w:rsid w:val="00DD4453"/>
    <w:rsid w:val="00DD45F3"/>
    <w:rsid w:val="00DE0C01"/>
    <w:rsid w:val="00DE2202"/>
    <w:rsid w:val="00DE5549"/>
    <w:rsid w:val="00E206E6"/>
    <w:rsid w:val="00E21B43"/>
    <w:rsid w:val="00E27922"/>
    <w:rsid w:val="00E33CA8"/>
    <w:rsid w:val="00E36AFE"/>
    <w:rsid w:val="00E377B5"/>
    <w:rsid w:val="00E55C4C"/>
    <w:rsid w:val="00E7596B"/>
    <w:rsid w:val="00E834AD"/>
    <w:rsid w:val="00E83733"/>
    <w:rsid w:val="00E90BD4"/>
    <w:rsid w:val="00EA4FCB"/>
    <w:rsid w:val="00EA60C7"/>
    <w:rsid w:val="00EB1910"/>
    <w:rsid w:val="00EB389E"/>
    <w:rsid w:val="00EB4CBB"/>
    <w:rsid w:val="00EC3F04"/>
    <w:rsid w:val="00ED3E37"/>
    <w:rsid w:val="00EE3914"/>
    <w:rsid w:val="00EE3BB4"/>
    <w:rsid w:val="00EE3C6C"/>
    <w:rsid w:val="00EE7F1B"/>
    <w:rsid w:val="00EF3886"/>
    <w:rsid w:val="00EF47D7"/>
    <w:rsid w:val="00F03521"/>
    <w:rsid w:val="00F0647A"/>
    <w:rsid w:val="00F17015"/>
    <w:rsid w:val="00F30F68"/>
    <w:rsid w:val="00F532A2"/>
    <w:rsid w:val="00F56853"/>
    <w:rsid w:val="00F6371F"/>
    <w:rsid w:val="00F66E7B"/>
    <w:rsid w:val="00F73DBC"/>
    <w:rsid w:val="00F83C20"/>
    <w:rsid w:val="00F84FF1"/>
    <w:rsid w:val="00F85830"/>
    <w:rsid w:val="00FD23B9"/>
    <w:rsid w:val="00FE02DA"/>
    <w:rsid w:val="00FE35CF"/>
    <w:rsid w:val="00FE53A5"/>
    <w:rsid w:val="00FE734E"/>
    <w:rsid w:val="00FE79B4"/>
    <w:rsid w:val="00FE7F68"/>
    <w:rsid w:val="00FF3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11">
    <w:name w:val="Сетка таблицы светлая1"/>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2">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urostat/web/products-manuals-and-guidelines/-/KS-GQ-18-0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docs.unep.org/bitstream/handle/20.500.11822/36253/UNRE.pdf?sequence=3&amp;isAllowed=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eurostat/web/products-manuals-and-guidelines/-/KS-GQ-18-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r.unep.org/media/docs/graphs/aggregation_methods.pdf" TargetMode="External"/><Relationship Id="rId5" Type="http://schemas.openxmlformats.org/officeDocument/2006/relationships/settings" Target="settings.xml"/><Relationship Id="rId15" Type="http://schemas.openxmlformats.org/officeDocument/2006/relationships/hyperlink" Target="https://ec.europa.eu/eurostat/documents/1798247/6191533/2013-EW-MFA-Guide-10Sep2013.pdf/54087dfb-1fb0-40f2-b1e4-64ed22ae3f4c" TargetMode="External"/><Relationship Id="rId10" Type="http://schemas.openxmlformats.org/officeDocument/2006/relationships/hyperlink" Target="https://wedocs.unep.org/bitstream/handle/20.500.11822/36253/UNRE.pdf?sequence=3&amp;isAllowed=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edocs.unep.org/bitstream/handle/20.500.11822/36253/UNRE.pdf?sequence=3&amp;isAllowed=y" TargetMode="External"/><Relationship Id="rId14" Type="http://schemas.openxmlformats.org/officeDocument/2006/relationships/hyperlink" Target="https://wedocs.unep.org/bitstream/handle/20.500.11822/36253/UNRE.pdf?sequence=3&amp;isAllowe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7670F-2CEA-44B1-B914-3E0C729E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41</cp:revision>
  <dcterms:created xsi:type="dcterms:W3CDTF">2022-02-17T06:44:00Z</dcterms:created>
  <dcterms:modified xsi:type="dcterms:W3CDTF">2023-08-24T11:14:00Z</dcterms:modified>
</cp:coreProperties>
</file>