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E03D73">
        <w:rPr>
          <w:rFonts w:eastAsia="Arial Unicode MS" w:cs="Times New Roman"/>
          <w:b/>
          <w:szCs w:val="24"/>
          <w:bdr w:val="nil"/>
          <w:lang w:eastAsia="ru-RU"/>
        </w:rPr>
        <w:t>1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E03D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E03D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E03D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E03D73">
      <w:pPr>
        <w:spacing w:after="0"/>
      </w:pPr>
      <w:r>
        <w:t>1</w:t>
      </w:r>
      <w:r w:rsidR="003B3294">
        <w:t>7</w:t>
      </w:r>
      <w:r w:rsidR="00780F08" w:rsidRPr="00BD29EC">
        <w:t>.</w:t>
      </w:r>
      <w:r w:rsidR="007E17F5">
        <w:t>4</w:t>
      </w:r>
      <w:r w:rsidR="00780F08" w:rsidRPr="00BD29EC">
        <w:t xml:space="preserve">. </w:t>
      </w:r>
      <w:r w:rsidR="009678CF" w:rsidRPr="009678CF">
        <w:t xml:space="preserve">Оказывать развивающимся странам помощь в целях обеспечения долгосрочной приемлемости уровня их задолженности благодаря проведению скоординированной политики, направленной на поощрение, в зависимости от обстоятельств, финансирования за счет заемных средств, облегчения долгового бремени и реструктуризации задолженности, и решить проблему внешней задолженности бедных стран с крупной задолженностью, с </w:t>
      </w:r>
      <w:proofErr w:type="gramStart"/>
      <w:r w:rsidR="009678CF" w:rsidRPr="009678CF">
        <w:t>тем</w:t>
      </w:r>
      <w:proofErr w:type="gramEnd"/>
      <w:r w:rsidR="009678CF" w:rsidRPr="009678CF">
        <w:t xml:space="preserve"> чтобы облегчить их долговое бремя</w:t>
      </w:r>
      <w:r w:rsidR="009678CF">
        <w:t>.</w:t>
      </w:r>
    </w:p>
    <w:p w:rsidR="003143BC" w:rsidRPr="00BD29EC" w:rsidRDefault="003143BC" w:rsidP="00E03D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E03D73">
      <w:pPr>
        <w:spacing w:after="0"/>
      </w:pPr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7E17F5">
        <w:t>4</w:t>
      </w:r>
      <w:r w:rsidR="002064C4">
        <w:t>.</w:t>
      </w:r>
      <w:r w:rsidR="007E17F5">
        <w:t>1</w:t>
      </w:r>
      <w:r w:rsidR="00C95AB2">
        <w:t>.</w:t>
      </w:r>
      <w:r w:rsidR="00780F08" w:rsidRPr="00BD29EC">
        <w:t xml:space="preserve"> </w:t>
      </w:r>
      <w:r w:rsidR="009678CF" w:rsidRPr="009678CF">
        <w:t>Доля поступлений от экспорта товаров и услуг, расходуемая на обслуживание долга.</w:t>
      </w:r>
    </w:p>
    <w:p w:rsidR="003143BC" w:rsidRDefault="003143BC" w:rsidP="00E03D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E03D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E03D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678CF" w:rsidRPr="009678CF" w:rsidRDefault="005647BB" w:rsidP="00E03D73">
      <w:pPr>
        <w:spacing w:after="0"/>
      </w:pPr>
      <w:r>
        <w:t>19 июля 2016</w:t>
      </w:r>
    </w:p>
    <w:p w:rsidR="00C8596F" w:rsidRDefault="00C8596F" w:rsidP="00E03D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678CF" w:rsidRDefault="009678CF" w:rsidP="009678CF">
      <w:pPr>
        <w:rPr>
          <w:bdr w:val="nil"/>
          <w:lang w:eastAsia="ru-RU"/>
        </w:rPr>
      </w:pPr>
      <w:r>
        <w:rPr>
          <w:bdr w:val="nil"/>
          <w:lang w:eastAsia="ru-RU"/>
        </w:rPr>
        <w:t>Всемирный банк (ВБ)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678CF" w:rsidRPr="009678CF" w:rsidRDefault="009678CF" w:rsidP="009678CF">
      <w:pPr>
        <w:rPr>
          <w:bdr w:val="nil"/>
          <w:lang w:eastAsia="ru-RU"/>
        </w:rPr>
      </w:pPr>
      <w:r>
        <w:rPr>
          <w:bdr w:val="nil"/>
          <w:lang w:eastAsia="ru-RU"/>
        </w:rPr>
        <w:t>Всемирный банк (ВБ)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9678CF" w:rsidRPr="005647BB" w:rsidRDefault="00DA19D7" w:rsidP="005647BB">
      <w:pPr>
        <w:spacing w:after="120"/>
        <w:rPr>
          <w:b/>
        </w:rPr>
      </w:pPr>
      <w:r w:rsidRPr="005647BB">
        <w:rPr>
          <w:b/>
        </w:rPr>
        <w:t>Определение:</w:t>
      </w:r>
    </w:p>
    <w:p w:rsidR="00DA19D7" w:rsidRPr="009678CF" w:rsidRDefault="009678CF" w:rsidP="009678CF">
      <w:pPr>
        <w:rPr>
          <w:rFonts w:eastAsia="Times New Roman" w:cs="Times New Roman"/>
          <w:lang w:eastAsia="en-GB"/>
        </w:rPr>
      </w:pPr>
      <w:r w:rsidRPr="009678CF">
        <w:t>Обслуживание долга как доля экспорта товаров и услуг представляет собой процент обслуживания долга (основные платежи и процентные платежи) к экспорту товаров и услуг. Обслуживание долга, охватываемое данным показателем, относится только к государственному и гарантированному государством долгу.</w:t>
      </w:r>
    </w:p>
    <w:p w:rsidR="00DA19D7" w:rsidRPr="005647BB" w:rsidRDefault="003859BD" w:rsidP="005647BB">
      <w:pPr>
        <w:spacing w:after="120"/>
        <w:rPr>
          <w:b/>
        </w:rPr>
      </w:pPr>
      <w:r w:rsidRPr="005647BB">
        <w:rPr>
          <w:b/>
        </w:rPr>
        <w:t>Основные понятия</w:t>
      </w:r>
      <w:r w:rsidR="005647BB" w:rsidRPr="005647BB">
        <w:rPr>
          <w:b/>
        </w:rPr>
        <w:t>:</w:t>
      </w:r>
    </w:p>
    <w:p w:rsidR="009678CF" w:rsidRPr="009678CF" w:rsidRDefault="009678CF" w:rsidP="009678CF">
      <w:r w:rsidRPr="009678CF">
        <w:t>Концепции данных о государственном и гарантированном государством внешнем долге соответствуют методологии шестого издания Руководства по платежному балансу и международной инвестиционной позиции (РПБ</w:t>
      </w:r>
      <w:proofErr w:type="gramStart"/>
      <w:r w:rsidRPr="009678CF">
        <w:t>6</w:t>
      </w:r>
      <w:proofErr w:type="gramEnd"/>
      <w:r w:rsidRPr="009678CF">
        <w:t>).</w:t>
      </w:r>
    </w:p>
    <w:p w:rsidR="009678CF" w:rsidRPr="00DA19D7" w:rsidRDefault="009678CF" w:rsidP="009678CF">
      <w:r w:rsidRPr="009678CF">
        <w:lastRenderedPageBreak/>
        <w:t>Концепции данных «Экспорт товаров и услуг» соответствуют шестому изданию Руководства по платежному балансу и международной инвестиционной позиции (РПБ</w:t>
      </w:r>
      <w:proofErr w:type="gramStart"/>
      <w:r w:rsidRPr="009678CF">
        <w:t>6</w:t>
      </w:r>
      <w:proofErr w:type="gramEnd"/>
      <w:r w:rsidRPr="009678CF">
        <w:t>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9678CF" w:rsidRPr="009678CF" w:rsidRDefault="009678CF" w:rsidP="009678CF">
      <w:r w:rsidRPr="009678CF">
        <w:t>В соответствии с Оперативной политикой Всемирного банка 14.10 (которая включает Общие условия МБРР и МАР) отчетность по внешнему долгу требуется для удовлетворения потребностей Всемирного банка в надежной и своевременной информации о внешнем долге для (а) оценки ситуации с внешним долгом страны-заемщика, кредитоспособности, и экономическое управление; и (b) проводить экономическую работу в стране и оценивать региональную и глобальную задолженность и проблемы обслуживания долга.</w:t>
      </w:r>
    </w:p>
    <w:p w:rsidR="009678CF" w:rsidRPr="00BD29EC" w:rsidRDefault="009678CF" w:rsidP="009678CF">
      <w:r w:rsidRPr="009678CF">
        <w:t>Внешние заимствования отчитывающихся стран осуществляются через Систему отчетности должников (DRS), которая была создана в 1951 году и собирает подробную информацию на уровне кредита с использованием стандартизированного набора форм.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D1E58" w:rsidRPr="00BD29EC" w:rsidRDefault="003D1E58" w:rsidP="003D1E58">
      <w:r w:rsidRPr="003D1E58">
        <w:t>Информация о государственном и гарантированном государством долге представляется ежеквартально в формах 1 и 2. В частности, новые кредитные обязательства отражаются в форме 1 и, при необходимости, в форме 1а (График освоения средств и выплаты основной суммы долга и процентов); о кредитных операциях сообщается один раз в год в форме 2 (Текущее состояние и операции). Форма 3 используется для внесения исправлений в данные, первоначально представленные в формах 1 и 2. Формы 1 и 1А представляются ежеквартально, в течение 30 дней после закрытия квартала. Форма 2 представляется ежегодно, до 31 марта года, следующего за годом, за который составляется отчет.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D1E58" w:rsidRPr="00BD29EC" w:rsidRDefault="003D1E58" w:rsidP="003D1E58">
      <w:r w:rsidRPr="003D1E58">
        <w:t>О кредитных операциях сообщается один раз в год в форме 2 (Текущее состояние и операции). Формы 1 и 1А подаются ежеквартально, в течение 30 дней после закрытия квартала. Форма 2 представляется ежегодно, до 31 марта года, следующего за годом, за который составляется отчет.</w:t>
      </w:r>
    </w:p>
    <w:p w:rsidR="003D1E58" w:rsidRDefault="000A229E" w:rsidP="0075371E">
      <w:pPr>
        <w:pStyle w:val="MHeader2"/>
        <w:rPr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  <w:r w:rsidR="003D1E58" w:rsidRPr="003D1E58">
        <w:rPr>
          <w:lang w:val="ru-RU"/>
        </w:rPr>
        <w:t xml:space="preserve"> </w:t>
      </w:r>
    </w:p>
    <w:p w:rsidR="000A229E" w:rsidRDefault="003D1E58" w:rsidP="003D1E58">
      <w:r w:rsidRPr="003D1E58">
        <w:t xml:space="preserve">Ежегодная публикация новых данных по этому показателю запланирована на середину декабря через ежегодную публикацию Всемирного банка «Международная статистика долга» (IDS) и доступна в Интернете (см. ссылку: </w:t>
      </w:r>
      <w:hyperlink r:id="rId9" w:history="1">
        <w:r w:rsidR="005647BB" w:rsidRPr="00A04112">
          <w:rPr>
            <w:rStyle w:val="ac"/>
          </w:rPr>
          <w:t>http://data.worldbank.org/products/ids</w:t>
        </w:r>
      </w:hyperlink>
      <w:r w:rsidRPr="003D1E58">
        <w:t>).</w:t>
      </w:r>
    </w:p>
    <w:p w:rsidR="005647BB" w:rsidRPr="00BD29EC" w:rsidRDefault="005647BB" w:rsidP="003D1E58"/>
    <w:p w:rsidR="000A229E" w:rsidRPr="00A71EC6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4D7182" w:rsidRDefault="004D7182" w:rsidP="004D7182">
      <w:r w:rsidRPr="003D1E58">
        <w:t>Агентством, отвечающим за подготовку статистики долга на национальном уровне, является Всемирный банк, а данные получаются государственными учреждениями на основе кредита за кредитом. Национальный поставщик данных «Экспорт товаров и услуг» является учреждением, отвечающим за сбор и составление статистики платежного баланса. Эта ответственность варьируется и зависит от страны (например, Центрального банка). Оценки персонала Всемирного банка по данным «Экспорт товаров и услуг» используются для заполнения пробелов. Данные «Экспорт товаров и услуг» не передаются во Всемирный банк напрямую от национального поставщика данных. О них сообщается Международному валютному фонду (МВФ), который является учреждением, отвечающим за надзор за стабильностью платежного баланса в рамках его институционального мандата.</w:t>
      </w:r>
    </w:p>
    <w:p w:rsidR="004D7182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4D7182" w:rsidRDefault="004D7182" w:rsidP="004D7182">
      <w:r>
        <w:t>Всемирный банк.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4D7182" w:rsidRPr="004D7182" w:rsidRDefault="004D7182" w:rsidP="004D7182">
      <w:r w:rsidRPr="004D7182">
        <w:t>Данные о государственном и гарантированном государством внешнем долге собираются Всемирным банком на основе Руководства по системе отчетности должников Всемирного банка от января 2000 года, в котором изложены процедуры отчетности, которые должны использоваться странами. Данные предоставлены странами на основе кредит за кредитом.</w:t>
      </w:r>
    </w:p>
    <w:p w:rsidR="004D7182" w:rsidRPr="004D7182" w:rsidRDefault="004D7182" w:rsidP="004D7182">
      <w:r w:rsidRPr="004D7182">
        <w:t>Данные «Экспорт товаров и услуг» берутся из базы данных статистики платежного баланса МВФ, а затем заполняются оценками персонала Всемирного банка в соответствии с шестым изданием Руководства по платежному балансу и международной инвестиционной позиции (РПБ</w:t>
      </w:r>
      <w:proofErr w:type="gramStart"/>
      <w:r w:rsidRPr="004D7182">
        <w:t>6</w:t>
      </w:r>
      <w:proofErr w:type="gramEnd"/>
      <w:r w:rsidRPr="004D7182">
        <w:t>).</w:t>
      </w:r>
    </w:p>
    <w:p w:rsidR="004D7182" w:rsidRDefault="004D7182" w:rsidP="004D7182">
      <w:r w:rsidRPr="004D7182">
        <w:t>Оба компонента используются для выражения показателя в процентах.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5647BB" w:rsidRDefault="00694160" w:rsidP="005647BB">
      <w:pPr>
        <w:pStyle w:val="MText"/>
        <w:numPr>
          <w:ilvl w:val="0"/>
          <w:numId w:val="5"/>
        </w:numPr>
        <w:rPr>
          <w:b/>
          <w:color w:val="auto"/>
          <w:sz w:val="24"/>
          <w:szCs w:val="24"/>
          <w:lang w:val="ru-RU"/>
        </w:rPr>
      </w:pPr>
      <w:r w:rsidRPr="005647BB">
        <w:rPr>
          <w:b/>
          <w:color w:val="auto"/>
          <w:sz w:val="24"/>
          <w:szCs w:val="24"/>
          <w:lang w:val="ru-RU"/>
        </w:rPr>
        <w:t xml:space="preserve">На </w:t>
      </w:r>
      <w:r w:rsidR="005647BB">
        <w:rPr>
          <w:b/>
          <w:color w:val="auto"/>
          <w:sz w:val="24"/>
          <w:szCs w:val="24"/>
          <w:lang w:val="ru-RU"/>
        </w:rPr>
        <w:t xml:space="preserve">страновом </w:t>
      </w:r>
      <w:r w:rsidRPr="005647BB">
        <w:rPr>
          <w:b/>
          <w:color w:val="auto"/>
          <w:sz w:val="24"/>
          <w:szCs w:val="24"/>
          <w:lang w:val="ru-RU"/>
        </w:rPr>
        <w:t>уровне</w:t>
      </w:r>
      <w:r w:rsidR="005647BB">
        <w:rPr>
          <w:b/>
          <w:color w:val="auto"/>
          <w:sz w:val="24"/>
          <w:szCs w:val="24"/>
          <w:lang w:val="ru-RU"/>
        </w:rPr>
        <w:t>: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5647BB" w:rsidRDefault="00694160" w:rsidP="005647BB">
      <w:pPr>
        <w:pStyle w:val="MText"/>
        <w:numPr>
          <w:ilvl w:val="0"/>
          <w:numId w:val="5"/>
        </w:numPr>
        <w:rPr>
          <w:b/>
          <w:color w:val="auto"/>
          <w:sz w:val="24"/>
          <w:szCs w:val="24"/>
          <w:lang w:val="ru-RU"/>
        </w:rPr>
      </w:pPr>
      <w:r w:rsidRPr="005647BB">
        <w:rPr>
          <w:b/>
          <w:color w:val="auto"/>
          <w:sz w:val="24"/>
          <w:szCs w:val="24"/>
          <w:lang w:val="ru-RU"/>
        </w:rPr>
        <w:t>На региональном и глобальном уровнях</w:t>
      </w:r>
      <w:r w:rsidR="005647BB">
        <w:rPr>
          <w:b/>
          <w:color w:val="auto"/>
          <w:sz w:val="24"/>
          <w:szCs w:val="24"/>
          <w:lang w:val="ru-RU"/>
        </w:rPr>
        <w:t>:</w:t>
      </w:r>
    </w:p>
    <w:p w:rsidR="00694160" w:rsidRPr="00BD29EC" w:rsidRDefault="00694160" w:rsidP="0075371E">
      <w:pPr>
        <w:pStyle w:val="MHeader2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4D7182" w:rsidP="004D7182">
      <w:r w:rsidRPr="004D7182">
        <w:t>Совокупные данные (глобальные, региональные и по группам доходов) состоят только из стран-членов Системы отчетности должников (DRS).</w:t>
      </w:r>
    </w:p>
    <w:p w:rsidR="002E15F9" w:rsidRPr="00BD29EC" w:rsidRDefault="002E15F9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54EDC" w:rsidRDefault="00854EDC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</w:p>
    <w:p w:rsidR="002E15F9" w:rsidRPr="00BD29EC" w:rsidRDefault="002E15F9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54EDC" w:rsidRDefault="00854EDC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</w:p>
    <w:p w:rsidR="002E15F9" w:rsidRPr="00040034" w:rsidRDefault="002E15F9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54EDC" w:rsidRDefault="00854EDC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</w:p>
    <w:p w:rsidR="002E15F9" w:rsidRDefault="0075371E" w:rsidP="00854EDC">
      <w:pPr>
        <w:pStyle w:val="MHeader2"/>
        <w:spacing w:after="0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854EDC" w:rsidRPr="00BD29EC" w:rsidRDefault="00854EDC" w:rsidP="0075371E">
      <w:pPr>
        <w:pStyle w:val="MHeader2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</w:t>
      </w:r>
      <w:r w:rsidR="00854EDC">
        <w:rPr>
          <w:b/>
          <w:color w:val="auto"/>
          <w:sz w:val="24"/>
          <w:szCs w:val="24"/>
          <w:lang w:val="ru-RU"/>
        </w:rPr>
        <w:t>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854EDC" w:rsidRDefault="0075371E" w:rsidP="004D7182">
      <w:pPr>
        <w:rPr>
          <w:b/>
        </w:rPr>
      </w:pPr>
      <w:r w:rsidRPr="00854EDC">
        <w:rPr>
          <w:b/>
        </w:rPr>
        <w:t>Доступность данных:</w:t>
      </w:r>
    </w:p>
    <w:p w:rsidR="004D7182" w:rsidRPr="00BD29EC" w:rsidRDefault="004D7182" w:rsidP="004D7182">
      <w:r w:rsidRPr="004D7182">
        <w:t>В настоящее время данные по этому показателю уже доступны на регулярной основе по 122 странам.</w:t>
      </w:r>
    </w:p>
    <w:p w:rsidR="0075371E" w:rsidRPr="00854EDC" w:rsidRDefault="0075371E" w:rsidP="004D7182">
      <w:pPr>
        <w:rPr>
          <w:b/>
        </w:rPr>
      </w:pPr>
      <w:r w:rsidRPr="00854EDC">
        <w:rPr>
          <w:b/>
        </w:rPr>
        <w:t>Временные ряды:</w:t>
      </w:r>
    </w:p>
    <w:p w:rsidR="0075371E" w:rsidRPr="00854EDC" w:rsidRDefault="00854EDC" w:rsidP="00854EDC">
      <w:pPr>
        <w:spacing w:after="120"/>
        <w:rPr>
          <w:b/>
        </w:rPr>
      </w:pPr>
      <w:r w:rsidRPr="00854EDC">
        <w:rPr>
          <w:b/>
        </w:rPr>
        <w:t>Дезагрегация</w:t>
      </w:r>
      <w:r w:rsidR="0075371E" w:rsidRPr="00854EDC">
        <w:rPr>
          <w:b/>
        </w:rPr>
        <w:t>:</w:t>
      </w:r>
    </w:p>
    <w:p w:rsidR="00854EDC" w:rsidRDefault="00854EDC" w:rsidP="00854EDC">
      <w:pPr>
        <w:spacing w:after="0"/>
      </w:pPr>
      <w:r>
        <w:t>Отсутствует</w:t>
      </w:r>
    </w:p>
    <w:p w:rsidR="00854EDC" w:rsidRPr="00BD29EC" w:rsidRDefault="00854EDC" w:rsidP="00854EDC">
      <w:pPr>
        <w:spacing w:after="0"/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03D73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03D73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03D73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4D7182" w:rsidRPr="00854EDC" w:rsidRDefault="004D7182" w:rsidP="004D7182">
      <w:pPr>
        <w:rPr>
          <w:b/>
        </w:rPr>
      </w:pPr>
      <w:bookmarkStart w:id="5" w:name="_GoBack"/>
      <w:r w:rsidRPr="00854EDC">
        <w:rPr>
          <w:b/>
        </w:rPr>
        <w:t>URL:</w:t>
      </w:r>
    </w:p>
    <w:bookmarkEnd w:id="5"/>
    <w:p w:rsidR="004D7182" w:rsidRPr="004D7182" w:rsidRDefault="004D7182" w:rsidP="004D7182">
      <w:r>
        <w:t>www</w:t>
      </w:r>
      <w:r w:rsidRPr="004D7182">
        <w:t>.</w:t>
      </w:r>
      <w:r>
        <w:t>worldbank</w:t>
      </w:r>
      <w:r w:rsidRPr="004D7182">
        <w:t>.</w:t>
      </w:r>
      <w:r>
        <w:t>org</w:t>
      </w:r>
    </w:p>
    <w:p w:rsidR="004D7182" w:rsidRPr="004D7182" w:rsidRDefault="004D7182" w:rsidP="004D7182">
      <w:pPr>
        <w:rPr>
          <w:b/>
        </w:rPr>
      </w:pPr>
      <w:r w:rsidRPr="004D7182">
        <w:rPr>
          <w:b/>
        </w:rPr>
        <w:t>Использованные документы:</w:t>
      </w:r>
    </w:p>
    <w:p w:rsidR="004D7182" w:rsidRPr="004D7182" w:rsidRDefault="004D7182" w:rsidP="004D7182">
      <w:pPr>
        <w:rPr>
          <w:rFonts w:eastAsia="Times New Roman" w:cs="Times New Roman"/>
          <w:szCs w:val="21"/>
          <w:lang w:eastAsia="en-GB"/>
        </w:rPr>
      </w:pPr>
      <w:r>
        <w:t>http</w:t>
      </w:r>
      <w:r w:rsidRPr="004D7182">
        <w:t>://</w:t>
      </w:r>
      <w:r>
        <w:t>databank</w:t>
      </w:r>
      <w:r w:rsidRPr="004D7182">
        <w:t>.</w:t>
      </w:r>
      <w:r>
        <w:t>worldbank</w:t>
      </w:r>
      <w:r w:rsidRPr="004D7182">
        <w:t>.</w:t>
      </w:r>
      <w:r>
        <w:t>org</w:t>
      </w:r>
      <w:r w:rsidRPr="004D7182">
        <w:t>/</w:t>
      </w:r>
      <w:r>
        <w:t>data</w:t>
      </w:r>
      <w:r w:rsidRPr="004D7182">
        <w:t>/</w:t>
      </w:r>
      <w:r>
        <w:t>reports</w:t>
      </w:r>
      <w:r w:rsidRPr="004D7182">
        <w:t>.</w:t>
      </w:r>
      <w:r>
        <w:t>aspx</w:t>
      </w:r>
      <w:r w:rsidRPr="004D7182">
        <w:t>?</w:t>
      </w:r>
      <w:r>
        <w:t>source</w:t>
      </w:r>
      <w:r w:rsidRPr="004D7182">
        <w:t>=2&amp;</w:t>
      </w:r>
      <w:r>
        <w:t>type</w:t>
      </w:r>
      <w:r w:rsidRPr="004D7182">
        <w:t>=</w:t>
      </w:r>
      <w:r>
        <w:t>metadata</w:t>
      </w:r>
      <w:r w:rsidRPr="004D7182">
        <w:t>&amp;</w:t>
      </w:r>
      <w:r>
        <w:t>series</w:t>
      </w:r>
      <w:r w:rsidRPr="004D7182">
        <w:t xml:space="preserve">= </w:t>
      </w:r>
      <w:r>
        <w:t>DT</w:t>
      </w:r>
      <w:r w:rsidRPr="004D7182">
        <w:t>.</w:t>
      </w:r>
      <w:r>
        <w:t>TDS</w:t>
      </w:r>
      <w:r w:rsidRPr="004D7182">
        <w:t>.</w:t>
      </w:r>
      <w:r>
        <w:t>DPPF</w:t>
      </w:r>
      <w:r w:rsidRPr="004D7182">
        <w:t>.</w:t>
      </w:r>
      <w:r>
        <w:t>XP</w:t>
      </w:r>
      <w:r w:rsidRPr="004D7182">
        <w:t>.</w:t>
      </w:r>
      <w:r>
        <w:t>ZS</w:t>
      </w:r>
    </w:p>
    <w:sectPr w:rsidR="004D7182" w:rsidRPr="004D71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4" w:rsidRDefault="00E90164" w:rsidP="00F73DBC">
      <w:pPr>
        <w:spacing w:after="0" w:line="240" w:lineRule="auto"/>
      </w:pPr>
      <w:r>
        <w:separator/>
      </w:r>
    </w:p>
  </w:endnote>
  <w:end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4" w:rsidRDefault="00E90164" w:rsidP="00F73DBC">
      <w:pPr>
        <w:spacing w:after="0" w:line="240" w:lineRule="auto"/>
      </w:pPr>
      <w:r>
        <w:separator/>
      </w:r>
    </w:p>
  </w:footnote>
  <w:footnote w:type="continuationSeparator" w:id="0">
    <w:p w:rsidR="00E90164" w:rsidRDefault="00E9016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</w:t>
    </w:r>
    <w:r w:rsidR="00E03D73">
      <w:rPr>
        <w:rFonts w:cs="Times New Roman"/>
      </w:rPr>
      <w:t>3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50E5"/>
    <w:multiLevelType w:val="hybridMultilevel"/>
    <w:tmpl w:val="B0BE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1E58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95496"/>
    <w:rsid w:val="004D2413"/>
    <w:rsid w:val="004D7182"/>
    <w:rsid w:val="004E087E"/>
    <w:rsid w:val="005016B8"/>
    <w:rsid w:val="00503B4A"/>
    <w:rsid w:val="00504837"/>
    <w:rsid w:val="00532D98"/>
    <w:rsid w:val="005647BB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E17F5"/>
    <w:rsid w:val="007F06DF"/>
    <w:rsid w:val="008138AD"/>
    <w:rsid w:val="00836F3E"/>
    <w:rsid w:val="00853C09"/>
    <w:rsid w:val="00854EDC"/>
    <w:rsid w:val="00864C1A"/>
    <w:rsid w:val="0092739E"/>
    <w:rsid w:val="009508D1"/>
    <w:rsid w:val="00957A62"/>
    <w:rsid w:val="00963238"/>
    <w:rsid w:val="009655B4"/>
    <w:rsid w:val="009678CF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22AB5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03D73"/>
    <w:rsid w:val="00E123F7"/>
    <w:rsid w:val="00E21B43"/>
    <w:rsid w:val="00E27922"/>
    <w:rsid w:val="00E33CA8"/>
    <w:rsid w:val="00E559F9"/>
    <w:rsid w:val="00E90164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9678CF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9678CF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9678CF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9678CF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ta.worldbank.org/products/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2B2A-5CC4-4746-9F24-650EF1B3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Гусев Иван Евгеньевич</cp:lastModifiedBy>
  <cp:revision>6</cp:revision>
  <dcterms:created xsi:type="dcterms:W3CDTF">2022-10-03T13:57:00Z</dcterms:created>
  <dcterms:modified xsi:type="dcterms:W3CDTF">2023-10-16T12:09:00Z</dcterms:modified>
</cp:coreProperties>
</file>