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w:t>
      </w:r>
      <w:r w:rsidR="009C2923">
        <w:rPr>
          <w:rFonts w:eastAsia="Arial Unicode MS" w:cs="Times New Roman"/>
          <w:b/>
          <w:szCs w:val="24"/>
          <w:bdr w:val="nil"/>
          <w:lang w:eastAsia="ru-RU"/>
        </w:rPr>
        <w:t>1</w:t>
      </w:r>
      <w:r w:rsidRPr="00A343D5">
        <w:rPr>
          <w:rFonts w:eastAsia="Arial Unicode MS" w:cs="Times New Roman"/>
          <w:b/>
          <w:szCs w:val="24"/>
          <w:bdr w:val="nil"/>
          <w:lang w:eastAsia="ru-RU"/>
        </w:rPr>
        <w:t>)</w:t>
      </w:r>
    </w:p>
    <w:p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rsidR="002D493B" w:rsidRPr="00E36CE2" w:rsidRDefault="00780F08" w:rsidP="0016743D">
      <w:pPr>
        <w:pBdr>
          <w:top w:val="nil"/>
          <w:left w:val="nil"/>
          <w:bottom w:val="nil"/>
          <w:right w:val="nil"/>
          <w:between w:val="nil"/>
          <w:bar w:val="nil"/>
        </w:pBdr>
        <w:spacing w:after="0"/>
      </w:pPr>
      <w:r w:rsidRPr="00A343D5">
        <w:rPr>
          <w:rFonts w:eastAsia="Arial Unicode MS" w:cs="Times New Roman"/>
          <w:szCs w:val="24"/>
          <w:bdr w:val="nil"/>
          <w:lang w:eastAsia="ru-RU"/>
        </w:rPr>
        <w:t xml:space="preserve">Цель </w:t>
      </w:r>
      <w:r w:rsidR="00935B97">
        <w:rPr>
          <w:rFonts w:eastAsia="Arial Unicode MS" w:cs="Times New Roman"/>
          <w:szCs w:val="24"/>
          <w:bdr w:val="nil"/>
          <w:lang w:eastAsia="ru-RU"/>
        </w:rPr>
        <w:t>1</w:t>
      </w:r>
      <w:r w:rsidR="00BA7C6B">
        <w:rPr>
          <w:rFonts w:eastAsia="Arial Unicode MS" w:cs="Times New Roman"/>
          <w:szCs w:val="24"/>
          <w:bdr w:val="nil"/>
          <w:lang w:eastAsia="ru-RU"/>
        </w:rPr>
        <w:t>7</w:t>
      </w:r>
      <w:r w:rsidRPr="00A343D5">
        <w:rPr>
          <w:rFonts w:eastAsia="Arial Unicode MS" w:cs="Times New Roman"/>
          <w:szCs w:val="24"/>
          <w:bdr w:val="nil"/>
          <w:lang w:eastAsia="ru-RU"/>
        </w:rPr>
        <w:t xml:space="preserve">: </w:t>
      </w:r>
      <w:r w:rsidR="00BA7C6B" w:rsidRPr="00BA7C6B">
        <w:t>Укрепление средств достижения устойчивого развития и активизация работы механизмов глобального партнерства в интересах устойчивого развития</w:t>
      </w:r>
    </w:p>
    <w:p w:rsidR="003143BC" w:rsidRPr="00A343D5" w:rsidRDefault="003143BC" w:rsidP="0016743D">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rsidR="006B0337" w:rsidRDefault="00935B97" w:rsidP="00A708AC">
      <w:r>
        <w:t>1</w:t>
      </w:r>
      <w:r w:rsidR="00BA7C6B">
        <w:t>7</w:t>
      </w:r>
      <w:r w:rsidR="00780F08" w:rsidRPr="00A343D5">
        <w:t>.</w:t>
      </w:r>
      <w:r w:rsidR="006156BE" w:rsidRPr="006156BE">
        <w:t>5</w:t>
      </w:r>
      <w:r w:rsidR="00780F08" w:rsidRPr="00A343D5">
        <w:t xml:space="preserve">.  </w:t>
      </w:r>
      <w:r w:rsidR="00A708AC" w:rsidRPr="00A708AC">
        <w:t>Принять и применять режимы поощрения инвестиций в интересах наименее развитых стран</w:t>
      </w:r>
      <w:r w:rsidR="00A708AC">
        <w:t>.</w:t>
      </w:r>
    </w:p>
    <w:p w:rsidR="003143BC" w:rsidRPr="00A343D5" w:rsidRDefault="003143BC" w:rsidP="00BA7C6B">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rsidR="00067E3E" w:rsidRPr="00147D02" w:rsidRDefault="003143BC" w:rsidP="00A708AC">
      <w:r w:rsidRPr="00A343D5">
        <w:t xml:space="preserve">Показатель </w:t>
      </w:r>
      <w:r w:rsidR="00935B97">
        <w:t>1</w:t>
      </w:r>
      <w:r w:rsidR="00BA7C6B">
        <w:t>7</w:t>
      </w:r>
      <w:r w:rsidR="00780F08" w:rsidRPr="00A343D5">
        <w:t>.</w:t>
      </w:r>
      <w:r w:rsidR="006156BE" w:rsidRPr="006156BE">
        <w:t>5</w:t>
      </w:r>
      <w:r w:rsidR="00465587">
        <w:t>.</w:t>
      </w:r>
      <w:r w:rsidR="00BA7C6B">
        <w:t>1</w:t>
      </w:r>
      <w:r w:rsidR="006677B0">
        <w:t>.</w:t>
      </w:r>
      <w:r w:rsidR="006677B0" w:rsidRPr="006677B0">
        <w:t xml:space="preserve"> </w:t>
      </w:r>
      <w:r w:rsidR="00A708AC" w:rsidRPr="00A708AC">
        <w:t>Число стран, в которых приняты и действуют режимы поощрения инвестиций в интересах развивающихся стран, включая наименее развитые страны</w:t>
      </w:r>
      <w:r w:rsidR="00A708AC">
        <w:t>.</w:t>
      </w:r>
    </w:p>
    <w:p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rsidR="009C2923" w:rsidRPr="009C2923" w:rsidRDefault="009C2923" w:rsidP="009C2923">
      <w:r w:rsidRPr="009C2923">
        <w:rPr>
          <w:rFonts w:eastAsia="Arial Unicode MS" w:cs="Times New Roman"/>
          <w:szCs w:val="24"/>
          <w:bdr w:val="nil"/>
          <w:lang w:eastAsia="ru-RU"/>
        </w:rPr>
        <w:t xml:space="preserve">Число стран со схемой поощрения внешних инвестиций, которая может принести пользу развивающимся странам, включая </w:t>
      </w:r>
      <w:r w:rsidRPr="00A708AC">
        <w:t>наименее развитые страны</w:t>
      </w:r>
      <w:r>
        <w:t xml:space="preserve"> (НРС).</w:t>
      </w:r>
    </w:p>
    <w:p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rsidR="00C8596F" w:rsidRPr="00A343D5" w:rsidRDefault="009C2923"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10 июля 2023</w:t>
      </w:r>
    </w:p>
    <w:p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rsidR="00245F56" w:rsidRPr="00245F56" w:rsidRDefault="00245F56" w:rsidP="00245F56">
      <w:pPr>
        <w:pBdr>
          <w:top w:val="nil"/>
          <w:left w:val="nil"/>
          <w:bottom w:val="nil"/>
          <w:right w:val="nil"/>
          <w:between w:val="nil"/>
          <w:bar w:val="nil"/>
        </w:pBdr>
        <w:tabs>
          <w:tab w:val="left" w:pos="284"/>
        </w:tabs>
        <w:spacing w:after="0"/>
        <w:rPr>
          <w:rStyle w:val="tlid-translation"/>
          <w:rFonts w:cs="Times New Roman"/>
          <w:szCs w:val="24"/>
        </w:rPr>
      </w:pPr>
      <w:r w:rsidRPr="00245F56">
        <w:rPr>
          <w:rStyle w:val="tlid-translation"/>
          <w:rFonts w:cs="Times New Roman"/>
          <w:szCs w:val="24"/>
        </w:rPr>
        <w:t>Показатель 10.b.1: Общие потоки ресурсов для развития с разбивкой по странам-получателям и донорам и типам потоков (например, официальная помощь в целях развития, прямые иностранные инвестиции и другие потоки) (метаданные).</w:t>
      </w:r>
    </w:p>
    <w:p w:rsidR="00245F56" w:rsidRDefault="00245F56" w:rsidP="00245F56">
      <w:pPr>
        <w:pBdr>
          <w:top w:val="nil"/>
          <w:left w:val="nil"/>
          <w:bottom w:val="nil"/>
          <w:right w:val="nil"/>
          <w:between w:val="nil"/>
          <w:bar w:val="nil"/>
        </w:pBdr>
        <w:tabs>
          <w:tab w:val="left" w:pos="284"/>
        </w:tabs>
        <w:spacing w:after="0"/>
        <w:rPr>
          <w:rStyle w:val="tlid-translation"/>
          <w:rFonts w:cs="Times New Roman"/>
          <w:szCs w:val="24"/>
        </w:rPr>
      </w:pPr>
      <w:r w:rsidRPr="00245F56">
        <w:rPr>
          <w:rStyle w:val="tlid-translation"/>
          <w:rFonts w:cs="Times New Roman"/>
          <w:szCs w:val="24"/>
        </w:rPr>
        <w:t xml:space="preserve">Показатель 17.3.1: </w:t>
      </w:r>
      <w:r w:rsidR="009C2923">
        <w:t>Мобилизация дополнительных финансовых ресурсов из самых разных источников для развивающихся стран</w:t>
      </w:r>
    </w:p>
    <w:p w:rsidR="00A91FDE" w:rsidRPr="008501F4" w:rsidRDefault="00E33CA8" w:rsidP="00245F56">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rsidR="00245F56" w:rsidRDefault="009C2923" w:rsidP="00245F56">
      <w:bookmarkStart w:id="0" w:name="_Toc37932744"/>
      <w:bookmarkStart w:id="1" w:name="_Toc36813072"/>
      <w:bookmarkStart w:id="2" w:name="_Toc36812685"/>
      <w:bookmarkStart w:id="3" w:name="_Toc36812572"/>
      <w:bookmarkStart w:id="4" w:name="_Toc36655609"/>
      <w:r w:rsidRPr="009C2923">
        <w:t xml:space="preserve">Конференция </w:t>
      </w:r>
      <w:r>
        <w:t>ООН</w:t>
      </w:r>
      <w:r w:rsidRPr="009C2923">
        <w:t xml:space="preserve"> по торговле и развитию</w:t>
      </w:r>
      <w:r>
        <w:t xml:space="preserve"> (</w:t>
      </w:r>
      <w:r w:rsidR="00245F56" w:rsidRPr="00245F56">
        <w:t>ЮНКТАД</w:t>
      </w:r>
      <w:r>
        <w:t>)</w:t>
      </w:r>
    </w:p>
    <w:p w:rsidR="009C2923" w:rsidRPr="009C2923" w:rsidRDefault="009C2923" w:rsidP="009C2923">
      <w:pPr>
        <w:pStyle w:val="a0"/>
      </w:pPr>
    </w:p>
    <w:p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0"/>
      <w:bookmarkEnd w:id="1"/>
      <w:bookmarkEnd w:id="2"/>
      <w:bookmarkEnd w:id="3"/>
      <w:bookmarkEnd w:id="4"/>
      <w:r w:rsidR="00853C09" w:rsidRPr="00162B33">
        <w:rPr>
          <w:b/>
          <w:color w:val="auto"/>
          <w:sz w:val="24"/>
          <w:szCs w:val="24"/>
          <w:lang w:val="ru-RU"/>
        </w:rPr>
        <w:t xml:space="preserve">Данные представлены </w:t>
      </w:r>
    </w:p>
    <w:p w:rsidR="009C2923" w:rsidRDefault="009C2923" w:rsidP="009C2923">
      <w:r w:rsidRPr="009C2923">
        <w:t xml:space="preserve">Конференция </w:t>
      </w:r>
      <w:r>
        <w:t>ООН</w:t>
      </w:r>
      <w:r w:rsidRPr="009C2923">
        <w:t xml:space="preserve"> по торговле и развитию</w:t>
      </w:r>
      <w:r>
        <w:t xml:space="preserve"> (</w:t>
      </w:r>
      <w:r w:rsidRPr="00245F56">
        <w:t>ЮНКТАД</w:t>
      </w:r>
      <w:r>
        <w:t>)</w:t>
      </w:r>
    </w:p>
    <w:p w:rsidR="0018458D" w:rsidRPr="002D493B" w:rsidRDefault="00957A62" w:rsidP="0018458D">
      <w:pPr>
        <w:pStyle w:val="MHeader"/>
        <w:rPr>
          <w:b/>
          <w:color w:val="auto"/>
          <w:sz w:val="24"/>
          <w:lang w:val="ru-RU"/>
        </w:rPr>
      </w:pPr>
      <w:r w:rsidRPr="002D493B">
        <w:rPr>
          <w:b/>
          <w:color w:val="auto"/>
          <w:sz w:val="24"/>
          <w:lang w:val="ru-RU"/>
        </w:rPr>
        <w:t xml:space="preserve">2. Определения, </w:t>
      </w:r>
      <w:r w:rsidR="00A41B68" w:rsidRPr="002D493B">
        <w:rPr>
          <w:b/>
          <w:color w:val="auto"/>
          <w:sz w:val="24"/>
          <w:lang w:val="ru-RU"/>
        </w:rPr>
        <w:t>понятия</w:t>
      </w:r>
      <w:r w:rsidRPr="002D493B">
        <w:rPr>
          <w:b/>
          <w:color w:val="auto"/>
          <w:sz w:val="24"/>
          <w:lang w:val="ru-RU"/>
        </w:rPr>
        <w:t xml:space="preserve"> и классификации</w:t>
      </w:r>
    </w:p>
    <w:p w:rsidR="002D493B" w:rsidRPr="002D493B" w:rsidRDefault="002D493B" w:rsidP="002D493B">
      <w:pPr>
        <w:rPr>
          <w:b/>
        </w:rPr>
      </w:pPr>
      <w:r w:rsidRPr="002D493B">
        <w:rPr>
          <w:b/>
        </w:rPr>
        <w:t>Определения</w:t>
      </w:r>
    </w:p>
    <w:p w:rsidR="0037008B" w:rsidRDefault="0037008B" w:rsidP="00873DDE">
      <w:pPr>
        <w:rPr>
          <w:rFonts w:cs="Times New Roman"/>
          <w:szCs w:val="24"/>
        </w:rPr>
      </w:pPr>
      <w:r w:rsidRPr="0037008B">
        <w:rPr>
          <w:rFonts w:cs="Times New Roman"/>
          <w:szCs w:val="24"/>
        </w:rPr>
        <w:t>Показатель показывает количество стран, которые приняли и внедрили режимы поощрения инвестиций для развивающихся стран, включая наименее развитые страны.</w:t>
      </w:r>
    </w:p>
    <w:p w:rsidR="0036490E" w:rsidRPr="009C2923" w:rsidRDefault="0036490E" w:rsidP="00873DDE">
      <w:pPr>
        <w:rPr>
          <w:rFonts w:cs="Times New Roman"/>
          <w:b/>
          <w:szCs w:val="24"/>
        </w:rPr>
      </w:pPr>
      <w:r w:rsidRPr="0036490E">
        <w:rPr>
          <w:rFonts w:cs="Times New Roman"/>
          <w:b/>
          <w:szCs w:val="24"/>
        </w:rPr>
        <w:t>Основные</w:t>
      </w:r>
      <w:r w:rsidRPr="009C2923">
        <w:rPr>
          <w:rFonts w:cs="Times New Roman"/>
          <w:b/>
          <w:szCs w:val="24"/>
        </w:rPr>
        <w:t xml:space="preserve"> </w:t>
      </w:r>
      <w:r w:rsidRPr="0036490E">
        <w:rPr>
          <w:rFonts w:cs="Times New Roman"/>
          <w:b/>
          <w:szCs w:val="24"/>
        </w:rPr>
        <w:t>понятия</w:t>
      </w:r>
      <w:r w:rsidRPr="009C2923">
        <w:rPr>
          <w:rFonts w:cs="Times New Roman"/>
          <w:b/>
          <w:szCs w:val="24"/>
        </w:rPr>
        <w:t>:</w:t>
      </w:r>
    </w:p>
    <w:p w:rsidR="0037008B" w:rsidRPr="0037008B" w:rsidRDefault="0037008B" w:rsidP="0037008B">
      <w:r w:rsidRPr="00585E8C">
        <w:rPr>
          <w:u w:val="single"/>
        </w:rPr>
        <w:t>Режимы поощрения инвестиций</w:t>
      </w:r>
      <w:r w:rsidRPr="0037008B">
        <w:t xml:space="preserve"> можно определить как те инструменты, которые непосредственно направлены на поощрение внешних или внутренних иностранных инвестиций с помощью конкретных мер, принимаемых странами происхождения или принимающей страны.</w:t>
      </w:r>
    </w:p>
    <w:p w:rsidR="0037008B" w:rsidRPr="0037008B" w:rsidRDefault="0037008B" w:rsidP="0037008B">
      <w:r w:rsidRPr="00585E8C">
        <w:rPr>
          <w:u w:val="single"/>
        </w:rPr>
        <w:t>Режимы поощрения инвестиций для НРС</w:t>
      </w:r>
      <w:r w:rsidRPr="0037008B">
        <w:t xml:space="preserve"> </w:t>
      </w:r>
      <w:r w:rsidR="006B49E4">
        <w:t>–</w:t>
      </w:r>
      <w:r w:rsidRPr="0037008B">
        <w:t xml:space="preserve"> это те инструменты, которые страны базирования инвесторов используют для поощрения вывоза инвестиций в НРС напрямую или посредством мер, предназначенных для развивающихся стран.</w:t>
      </w:r>
    </w:p>
    <w:p w:rsidR="0037008B" w:rsidRPr="0037008B" w:rsidRDefault="0037008B" w:rsidP="0037008B">
      <w:r w:rsidRPr="0037008B">
        <w:lastRenderedPageBreak/>
        <w:t xml:space="preserve">Под </w:t>
      </w:r>
      <w:r w:rsidRPr="00585E8C">
        <w:rPr>
          <w:u w:val="single"/>
        </w:rPr>
        <w:t>страной происхождения</w:t>
      </w:r>
      <w:r w:rsidRPr="0037008B">
        <w:t xml:space="preserve"> понимаются страны-доноры, которые внедрили режимы поощрения инвестиций для поощрения вывоза инвестиций в развивающиеся страны, включая НРС.</w:t>
      </w:r>
    </w:p>
    <w:p w:rsidR="0037008B" w:rsidRPr="0037008B" w:rsidRDefault="0037008B" w:rsidP="0037008B">
      <w:r w:rsidRPr="00585E8C">
        <w:rPr>
          <w:u w:val="single"/>
        </w:rPr>
        <w:t>Прямые иностранные инвестиции</w:t>
      </w:r>
      <w:r w:rsidRPr="0037008B">
        <w:t xml:space="preserve"> </w:t>
      </w:r>
      <w:proofErr w:type="gramStart"/>
      <w:r w:rsidRPr="0037008B">
        <w:t>предполагают</w:t>
      </w:r>
      <w:proofErr w:type="gramEnd"/>
      <w:r w:rsidRPr="0037008B">
        <w:t xml:space="preserve"> долгосрочные отношения и отражают устойчивую заинтересованность и контроль со стороны резидента в одной стране (прямого иностранного инвестора или материнского предприятия) над предприятием-резидентом в экономике, отличной от экономики прямого иностранного инвестора (предприятие с ПИИ или дочернее предприятие или иностранный филиал).</w:t>
      </w:r>
    </w:p>
    <w:p w:rsidR="0037008B" w:rsidRPr="0037008B" w:rsidRDefault="0037008B" w:rsidP="0037008B">
      <w:r w:rsidRPr="0067549F">
        <w:rPr>
          <w:u w:val="single"/>
        </w:rPr>
        <w:t>Принятие</w:t>
      </w:r>
      <w:r w:rsidRPr="0037008B">
        <w:t xml:space="preserve"> означает, что страна создала такую ​​систему, то есть путем официального принятия закона, постановления или программы для поощрения инвестиций в развивающиеся страны, включая НРС.</w:t>
      </w:r>
    </w:p>
    <w:p w:rsidR="0037008B" w:rsidRPr="0037008B" w:rsidRDefault="0037008B" w:rsidP="0037008B">
      <w:r w:rsidRPr="0067549F">
        <w:rPr>
          <w:u w:val="single"/>
        </w:rPr>
        <w:t>Осуществление</w:t>
      </w:r>
      <w:r w:rsidRPr="0037008B">
        <w:t xml:space="preserve"> означает, что страна фактически начала поощрять индивидуальные инвестиции в развивающиеся страны, включая НРС, на основе соответствующего законодательства.</w:t>
      </w:r>
    </w:p>
    <w:p w:rsidR="0037008B" w:rsidRPr="0037008B" w:rsidRDefault="0037008B" w:rsidP="0037008B">
      <w:r w:rsidRPr="0067549F">
        <w:rPr>
          <w:u w:val="single"/>
        </w:rPr>
        <w:t>Инструменты, используемые в режимах поощрения инвестиций</w:t>
      </w:r>
      <w:r w:rsidRPr="0037008B">
        <w:t>, включают инвестиционные гарантии, финансовую или фискальную поддержку для иностранных инвесторов, а также заключение международных инвестиционных соглашений между страной происхождения и принимающей страной инвестора. Помимо этих правовых инструментов, страны часто также предоставляют информацию и другие консультационные услуги своим иностранным инвесторам.</w:t>
      </w:r>
    </w:p>
    <w:p w:rsidR="0037008B" w:rsidRPr="0037008B" w:rsidRDefault="0037008B" w:rsidP="006B49E4">
      <w:pPr>
        <w:spacing w:after="200"/>
      </w:pPr>
      <w:r w:rsidRPr="00D82193">
        <w:rPr>
          <w:u w:val="single"/>
        </w:rPr>
        <w:t>Инвестиционная гарантия</w:t>
      </w:r>
      <w:r w:rsidRPr="0037008B">
        <w:t xml:space="preserve"> </w:t>
      </w:r>
      <w:r w:rsidR="006B49E4">
        <w:t>–</w:t>
      </w:r>
      <w:r w:rsidRPr="0037008B">
        <w:t xml:space="preserve"> это страхование, предлагаемое правительством страны происхождения или другими учреждениями инвесторам для защиты от определенных политических рисков в принимающих странах, таких как риск дискриминации, экспроприации, ограничений передачи или нарушения контракта.</w:t>
      </w:r>
    </w:p>
    <w:p w:rsidR="00407E4E" w:rsidRPr="006C10F0" w:rsidRDefault="00407E4E" w:rsidP="00873DDE">
      <w:pPr>
        <w:pStyle w:val="MHeader2"/>
        <w:spacing w:line="276" w:lineRule="auto"/>
        <w:rPr>
          <w:color w:val="auto"/>
          <w:sz w:val="24"/>
          <w:szCs w:val="24"/>
          <w:lang w:val="ru-RU"/>
        </w:rPr>
      </w:pPr>
      <w:r w:rsidRPr="006C10F0">
        <w:rPr>
          <w:color w:val="auto"/>
          <w:sz w:val="24"/>
          <w:szCs w:val="24"/>
          <w:lang w:val="ru-RU"/>
        </w:rPr>
        <w:t>2.</w:t>
      </w:r>
      <w:r w:rsidRPr="00A343D5">
        <w:rPr>
          <w:color w:val="auto"/>
          <w:sz w:val="24"/>
          <w:szCs w:val="24"/>
        </w:rPr>
        <w:t>b</w:t>
      </w:r>
      <w:r w:rsidRPr="006C10F0">
        <w:rPr>
          <w:color w:val="auto"/>
          <w:sz w:val="24"/>
          <w:szCs w:val="24"/>
          <w:lang w:val="ru-RU"/>
        </w:rPr>
        <w:t xml:space="preserve">. </w:t>
      </w:r>
      <w:r w:rsidRPr="00A343D5">
        <w:rPr>
          <w:b/>
          <w:color w:val="auto"/>
          <w:sz w:val="24"/>
          <w:szCs w:val="24"/>
          <w:lang w:val="ru-RU"/>
        </w:rPr>
        <w:t>Единица</w:t>
      </w:r>
      <w:r w:rsidRPr="006C10F0">
        <w:rPr>
          <w:b/>
          <w:color w:val="auto"/>
          <w:sz w:val="24"/>
          <w:szCs w:val="24"/>
          <w:lang w:val="ru-RU"/>
        </w:rPr>
        <w:t xml:space="preserve"> </w:t>
      </w:r>
      <w:r w:rsidRPr="00A343D5">
        <w:rPr>
          <w:b/>
          <w:color w:val="auto"/>
          <w:sz w:val="24"/>
          <w:szCs w:val="24"/>
          <w:lang w:val="ru-RU"/>
        </w:rPr>
        <w:t>измерения</w:t>
      </w:r>
    </w:p>
    <w:p w:rsidR="00372BD0" w:rsidRDefault="00372BD0" w:rsidP="00372BD0">
      <w:r w:rsidRPr="00372BD0">
        <w:t xml:space="preserve">Единица измерения </w:t>
      </w:r>
      <w:r w:rsidR="007F7BA8">
        <w:t>–</w:t>
      </w:r>
      <w:r w:rsidRPr="00372BD0">
        <w:t xml:space="preserve"> количество стран.</w:t>
      </w:r>
    </w:p>
    <w:p w:rsidR="000A229E" w:rsidRDefault="000A229E" w:rsidP="00D50626">
      <w:pPr>
        <w:pStyle w:val="MHeader2"/>
        <w:spacing w:line="276" w:lineRule="auto"/>
        <w:rPr>
          <w:b/>
          <w:color w:val="auto"/>
          <w:sz w:val="24"/>
          <w:szCs w:val="24"/>
          <w:lang w:val="ru-RU"/>
        </w:rPr>
      </w:pPr>
      <w:r w:rsidRPr="00067E3E">
        <w:rPr>
          <w:color w:val="auto"/>
          <w:sz w:val="24"/>
          <w:szCs w:val="24"/>
          <w:lang w:val="ru-RU"/>
        </w:rPr>
        <w:t>2.</w:t>
      </w:r>
      <w:r w:rsidRPr="00A343D5">
        <w:rPr>
          <w:color w:val="auto"/>
          <w:sz w:val="24"/>
          <w:szCs w:val="24"/>
        </w:rPr>
        <w:t>c</w:t>
      </w:r>
      <w:r w:rsidRPr="00067E3E">
        <w:rPr>
          <w:color w:val="auto"/>
          <w:sz w:val="24"/>
          <w:szCs w:val="24"/>
          <w:lang w:val="ru-RU"/>
        </w:rPr>
        <w:t xml:space="preserve">. </w:t>
      </w:r>
      <w:r w:rsidRPr="00A343D5">
        <w:rPr>
          <w:b/>
          <w:color w:val="auto"/>
          <w:sz w:val="24"/>
          <w:szCs w:val="24"/>
          <w:lang w:val="ru-RU"/>
        </w:rPr>
        <w:t>Классификации</w:t>
      </w:r>
    </w:p>
    <w:p w:rsidR="00873DDE" w:rsidRDefault="00372BD0" w:rsidP="00873DDE">
      <w:r w:rsidRPr="00372BD0">
        <w:t>Целевые страны и их числовые коды, применяемые как в статистике ЮНКТАД, так и в соответствии со стандартом ISO 3166-1 и стандартными кодами стран или регионов для статистического использования (M49) Статистического отдела Организации Объединенных Наций (СОООН).</w:t>
      </w:r>
    </w:p>
    <w:p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rsidR="004333FB" w:rsidRPr="004333FB" w:rsidRDefault="000A229E" w:rsidP="004333FB">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372BD0" w:rsidRPr="00372BD0" w:rsidRDefault="00372BD0" w:rsidP="00372BD0">
      <w:r w:rsidRPr="00372BD0">
        <w:t>Источники данных включают следующее:</w:t>
      </w:r>
    </w:p>
    <w:p w:rsidR="00372BD0" w:rsidRPr="00372BD0" w:rsidRDefault="00372BD0" w:rsidP="007F7BA8">
      <w:pPr>
        <w:pStyle w:val="ac"/>
        <w:numPr>
          <w:ilvl w:val="0"/>
          <w:numId w:val="26"/>
        </w:numPr>
      </w:pPr>
      <w:r w:rsidRPr="00372BD0">
        <w:t>Ответы на обзор схем инвестиционных гарантий для вывоза инвестиций в НРС в частности или в развивающиеся страны в целом;</w:t>
      </w:r>
    </w:p>
    <w:p w:rsidR="00372BD0" w:rsidRPr="00372BD0" w:rsidRDefault="00372BD0" w:rsidP="007F7BA8">
      <w:pPr>
        <w:pStyle w:val="ac"/>
        <w:numPr>
          <w:ilvl w:val="0"/>
          <w:numId w:val="26"/>
        </w:numPr>
      </w:pPr>
      <w:r w:rsidRPr="00372BD0">
        <w:t>Ответы на обзор налогово-бюджетной или финансовой поддержки вывозимых инвесторов в НРС, особенно в развивающиеся страны, в целом;</w:t>
      </w:r>
    </w:p>
    <w:p w:rsidR="00372BD0" w:rsidRPr="00372BD0" w:rsidRDefault="00372BD0" w:rsidP="007F7BA8">
      <w:pPr>
        <w:pStyle w:val="ac"/>
        <w:numPr>
          <w:ilvl w:val="0"/>
          <w:numId w:val="26"/>
        </w:numPr>
      </w:pPr>
      <w:r w:rsidRPr="00372BD0">
        <w:t xml:space="preserve">Интернет-исследование, </w:t>
      </w:r>
      <w:proofErr w:type="gramStart"/>
      <w:r w:rsidRPr="00372BD0">
        <w:t>проведенное</w:t>
      </w:r>
      <w:proofErr w:type="gramEnd"/>
      <w:r w:rsidRPr="00372BD0">
        <w:t xml:space="preserve"> ЮНКТАД;</w:t>
      </w:r>
    </w:p>
    <w:p w:rsidR="00372BD0" w:rsidRDefault="00372BD0" w:rsidP="007F7BA8">
      <w:pPr>
        <w:pStyle w:val="ac"/>
        <w:numPr>
          <w:ilvl w:val="0"/>
          <w:numId w:val="26"/>
        </w:numPr>
      </w:pPr>
      <w:r w:rsidRPr="00372BD0">
        <w:lastRenderedPageBreak/>
        <w:t xml:space="preserve">База данных ЮНКТАД с информацией о международных инвестиционных соглашениях (IIA </w:t>
      </w:r>
      <w:proofErr w:type="spellStart"/>
      <w:r w:rsidRPr="00372BD0">
        <w:t>Navigator</w:t>
      </w:r>
      <w:proofErr w:type="spellEnd"/>
      <w:r w:rsidRPr="00372BD0">
        <w:t>), включая соглашения, заключенные с НРС и развивающимися странами.</w:t>
      </w:r>
    </w:p>
    <w:p w:rsidR="00995788" w:rsidRDefault="000A229E" w:rsidP="00DD2947">
      <w:pPr>
        <w:pStyle w:val="MHeader"/>
        <w:spacing w:after="120"/>
        <w:rPr>
          <w:b/>
          <w:color w:val="auto"/>
          <w:sz w:val="24"/>
          <w:lang w:val="ru-RU"/>
        </w:rPr>
      </w:pPr>
      <w:r w:rsidRPr="007E1F8A">
        <w:rPr>
          <w:color w:val="auto"/>
          <w:sz w:val="24"/>
          <w:lang w:val="ru-RU"/>
        </w:rPr>
        <w:t>3.</w:t>
      </w:r>
      <w:r w:rsidRPr="007E1F8A">
        <w:rPr>
          <w:color w:val="auto"/>
          <w:sz w:val="24"/>
        </w:rPr>
        <w:t>b</w:t>
      </w:r>
      <w:r w:rsidRPr="007E1F8A">
        <w:rPr>
          <w:color w:val="auto"/>
          <w:sz w:val="24"/>
          <w:lang w:val="ru-RU"/>
        </w:rPr>
        <w:t>.</w:t>
      </w:r>
      <w:r w:rsidRPr="00D50626">
        <w:rPr>
          <w:b/>
          <w:color w:val="auto"/>
          <w:sz w:val="24"/>
          <w:lang w:val="ru-RU"/>
        </w:rPr>
        <w:t xml:space="preserve"> Метод сбора данных</w:t>
      </w:r>
    </w:p>
    <w:p w:rsidR="00DD2947" w:rsidRDefault="00DD2947" w:rsidP="00DD2947">
      <w:pPr>
        <w:pStyle w:val="a0"/>
        <w:rPr>
          <w:lang w:eastAsia="ru-RU"/>
        </w:rPr>
      </w:pPr>
      <w:r>
        <w:rPr>
          <w:lang w:eastAsia="ru-RU"/>
        </w:rPr>
        <w:t>Предварительные данные собираются следующими способами:</w:t>
      </w:r>
    </w:p>
    <w:p w:rsidR="00DD2947" w:rsidRDefault="00DD2947" w:rsidP="00DD2947">
      <w:pPr>
        <w:pStyle w:val="a0"/>
        <w:numPr>
          <w:ilvl w:val="0"/>
          <w:numId w:val="27"/>
        </w:numPr>
        <w:ind w:hanging="720"/>
        <w:rPr>
          <w:lang w:eastAsia="ru-RU"/>
        </w:rPr>
      </w:pPr>
      <w:r>
        <w:rPr>
          <w:lang w:eastAsia="ru-RU"/>
        </w:rPr>
        <w:t>Углубленный онлайн-опросник был распространен среди координаторов ЦУР в статистических управлениях по всему миру;</w:t>
      </w:r>
    </w:p>
    <w:p w:rsidR="00DD2947" w:rsidRDefault="00DD2947" w:rsidP="00DD2947">
      <w:pPr>
        <w:pStyle w:val="a0"/>
        <w:numPr>
          <w:ilvl w:val="0"/>
          <w:numId w:val="27"/>
        </w:numPr>
        <w:ind w:hanging="720"/>
        <w:rPr>
          <w:lang w:eastAsia="ru-RU"/>
        </w:rPr>
      </w:pPr>
      <w:proofErr w:type="gramStart"/>
      <w:r>
        <w:rPr>
          <w:lang w:eastAsia="ru-RU"/>
        </w:rPr>
        <w:t>Интернет-исследования</w:t>
      </w:r>
      <w:proofErr w:type="gramEnd"/>
      <w:r>
        <w:rPr>
          <w:lang w:eastAsia="ru-RU"/>
        </w:rPr>
        <w:t>, проведенные ЮНКТАД;</w:t>
      </w:r>
    </w:p>
    <w:p w:rsidR="00DD2947" w:rsidRDefault="00DD2947" w:rsidP="00DD2947">
      <w:pPr>
        <w:pStyle w:val="a0"/>
        <w:rPr>
          <w:lang w:eastAsia="ru-RU"/>
        </w:rPr>
      </w:pPr>
    </w:p>
    <w:p w:rsidR="00DD2947" w:rsidRDefault="00DD2947" w:rsidP="00DD2947">
      <w:pPr>
        <w:pStyle w:val="a0"/>
        <w:rPr>
          <w:lang w:eastAsia="ru-RU"/>
        </w:rPr>
      </w:pPr>
      <w:r>
        <w:rPr>
          <w:lang w:eastAsia="ru-RU"/>
        </w:rPr>
        <w:t xml:space="preserve">Агентство, отвечающее за продвижение внешних инвестиций, может различаться в разных странах в зависимости от национальной структуры. Координаторам ЦУР рекомендуется направить анкету соответствующим партнерам на </w:t>
      </w:r>
      <w:proofErr w:type="spellStart"/>
      <w:r>
        <w:rPr>
          <w:lang w:eastAsia="ru-RU"/>
        </w:rPr>
        <w:t>страновом</w:t>
      </w:r>
      <w:proofErr w:type="spellEnd"/>
      <w:r>
        <w:rPr>
          <w:lang w:eastAsia="ru-RU"/>
        </w:rPr>
        <w:t xml:space="preserve"> уровне, например</w:t>
      </w:r>
      <w:r w:rsidR="004C577D">
        <w:rPr>
          <w:lang w:eastAsia="ru-RU"/>
        </w:rPr>
        <w:t>,</w:t>
      </w:r>
      <w:r>
        <w:rPr>
          <w:lang w:eastAsia="ru-RU"/>
        </w:rPr>
        <w:t xml:space="preserve"> национальные министерства инвестиций, промышленности, экономического развития или агентства по содействию внешним инвестициям.</w:t>
      </w:r>
    </w:p>
    <w:p w:rsidR="00DD2947" w:rsidRPr="00DD2947" w:rsidRDefault="00DD2947" w:rsidP="00DD2947">
      <w:pPr>
        <w:pStyle w:val="a0"/>
        <w:rPr>
          <w:lang w:eastAsia="ru-RU"/>
        </w:rPr>
      </w:pPr>
    </w:p>
    <w:p w:rsidR="009E707C" w:rsidRPr="00372BD0" w:rsidRDefault="009E707C" w:rsidP="00372BD0">
      <w:pPr>
        <w:pStyle w:val="MHeader"/>
        <w:rPr>
          <w:rFonts w:eastAsiaTheme="minorHAnsi" w:cstheme="minorBidi"/>
          <w:color w:val="auto"/>
          <w:sz w:val="24"/>
          <w:szCs w:val="22"/>
          <w:lang w:val="ru-RU" w:eastAsia="ru-RU"/>
        </w:rPr>
      </w:pPr>
      <w:r w:rsidRPr="007E1F8A">
        <w:rPr>
          <w:color w:val="auto"/>
          <w:sz w:val="24"/>
          <w:lang w:val="ru-RU"/>
        </w:rPr>
        <w:t>3.</w:t>
      </w:r>
      <w:r w:rsidR="00900860" w:rsidRPr="007E1F8A">
        <w:rPr>
          <w:color w:val="auto"/>
          <w:sz w:val="24"/>
          <w:lang w:val="ru-RU"/>
        </w:rPr>
        <w:t>с</w:t>
      </w:r>
      <w:r w:rsidRPr="007E1F8A">
        <w:rPr>
          <w:color w:val="auto"/>
          <w:sz w:val="24"/>
          <w:lang w:val="ru-RU"/>
        </w:rPr>
        <w:t>.</w:t>
      </w:r>
      <w:r w:rsidR="00900860" w:rsidRPr="003424DF">
        <w:rPr>
          <w:b/>
          <w:color w:val="auto"/>
          <w:sz w:val="24"/>
          <w:lang w:val="ru-RU"/>
        </w:rPr>
        <w:t xml:space="preserve"> </w:t>
      </w:r>
      <w:r w:rsidRPr="003424DF">
        <w:rPr>
          <w:b/>
          <w:color w:val="auto"/>
          <w:sz w:val="24"/>
          <w:lang w:val="ru-RU"/>
        </w:rPr>
        <w:t>Календарь сбора данных</w:t>
      </w:r>
    </w:p>
    <w:p w:rsidR="00DD2947" w:rsidRPr="00DD2947" w:rsidRDefault="007E1F8A" w:rsidP="007E1F8A">
      <w:pPr>
        <w:spacing w:after="120"/>
      </w:pPr>
      <w:r w:rsidRPr="007E1F8A">
        <w:t xml:space="preserve">Ежегодный сбор данных в четвертом квартале </w:t>
      </w:r>
      <w:r w:rsidR="004C577D">
        <w:t xml:space="preserve">года, предшествующего </w:t>
      </w:r>
      <w:proofErr w:type="gramStart"/>
      <w:r w:rsidR="004C577D">
        <w:t>отчетному</w:t>
      </w:r>
      <w:proofErr w:type="gramEnd"/>
      <w:r w:rsidR="004C577D">
        <w:t>.</w:t>
      </w:r>
    </w:p>
    <w:p w:rsidR="000A229E" w:rsidRDefault="009E707C" w:rsidP="00FC39AA">
      <w:pPr>
        <w:pStyle w:val="MHeader2"/>
        <w:spacing w:line="276" w:lineRule="auto"/>
        <w:rPr>
          <w:b/>
          <w:color w:val="auto"/>
          <w:sz w:val="24"/>
          <w:szCs w:val="24"/>
          <w:lang w:val="ru-RU"/>
        </w:rPr>
      </w:pPr>
      <w:r w:rsidRPr="0056571B">
        <w:rPr>
          <w:color w:val="auto"/>
          <w:sz w:val="24"/>
          <w:szCs w:val="24"/>
          <w:lang w:val="ru-RU"/>
        </w:rPr>
        <w:t>3</w:t>
      </w:r>
      <w:r w:rsidR="000A229E" w:rsidRPr="0056571B">
        <w:rPr>
          <w:color w:val="auto"/>
          <w:sz w:val="24"/>
          <w:szCs w:val="24"/>
          <w:lang w:val="ru-RU"/>
        </w:rPr>
        <w:t>.</w:t>
      </w:r>
      <w:r w:rsidR="000A229E" w:rsidRPr="0056571B">
        <w:rPr>
          <w:color w:val="auto"/>
          <w:sz w:val="24"/>
          <w:szCs w:val="24"/>
        </w:rPr>
        <w:t>d</w:t>
      </w:r>
      <w:r w:rsidR="003A389C" w:rsidRPr="0056571B">
        <w:rPr>
          <w:color w:val="auto"/>
          <w:sz w:val="24"/>
          <w:szCs w:val="24"/>
          <w:lang w:val="ru-RU"/>
        </w:rPr>
        <w:t>.</w:t>
      </w:r>
      <w:r w:rsidR="000A229E" w:rsidRPr="0056571B">
        <w:rPr>
          <w:b/>
          <w:color w:val="auto"/>
          <w:sz w:val="24"/>
          <w:szCs w:val="24"/>
          <w:lang w:val="ru-RU"/>
        </w:rPr>
        <w:t>Календарь выпуска данных</w:t>
      </w:r>
    </w:p>
    <w:p w:rsidR="00372BD0" w:rsidRDefault="007E1F8A" w:rsidP="00372BD0">
      <w:r w:rsidRPr="007E1F8A">
        <w:t>Ежегодный выпуск, в 1 квартале отчетного года.</w:t>
      </w:r>
    </w:p>
    <w:p w:rsidR="000A229E" w:rsidRPr="00A343D5" w:rsidRDefault="000A229E" w:rsidP="00FC39A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372BD0" w:rsidRDefault="00372BD0" w:rsidP="00372BD0">
      <w:r w:rsidRPr="00372BD0">
        <w:t>Поставщики данных включают национальные министерства, агентства по привлечению иностранных инвестиций и другие международные организации.</w:t>
      </w:r>
    </w:p>
    <w:p w:rsidR="000A229E" w:rsidRPr="00A343D5" w:rsidRDefault="000A229E" w:rsidP="00A423C4">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372BD0" w:rsidRDefault="007E1F8A" w:rsidP="00372BD0">
      <w:r w:rsidRPr="007E1F8A">
        <w:t xml:space="preserve">Конференция ООН по торговле и развитию </w:t>
      </w:r>
      <w:r>
        <w:t>(</w:t>
      </w:r>
      <w:r w:rsidR="00372BD0" w:rsidRPr="00372BD0">
        <w:t>ЮНКТАД</w:t>
      </w:r>
      <w:r>
        <w:t>)</w:t>
      </w:r>
      <w:r w:rsidR="00372BD0" w:rsidRPr="00372BD0">
        <w:t xml:space="preserve"> будет компилировать собранные национальные данные для представления их в глобальном масштабе.</w:t>
      </w:r>
    </w:p>
    <w:p w:rsidR="000A229E" w:rsidRDefault="000A229E" w:rsidP="0056571B">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DA3E26" w:rsidRPr="00DA3E26" w:rsidRDefault="00DA3E26" w:rsidP="0056571B">
      <w:pPr>
        <w:pStyle w:val="MHeader2"/>
        <w:spacing w:line="276" w:lineRule="auto"/>
        <w:rPr>
          <w:color w:val="auto"/>
          <w:sz w:val="24"/>
          <w:szCs w:val="24"/>
          <w:lang w:val="ru-RU"/>
        </w:rPr>
      </w:pPr>
      <w:r w:rsidRPr="00DA3E26">
        <w:rPr>
          <w:color w:val="auto"/>
          <w:sz w:val="24"/>
          <w:szCs w:val="24"/>
          <w:lang w:val="ru-RU"/>
        </w:rPr>
        <w:t>ЮНКТАД является координатором по вопросам международных инвестиций в системе Организации Объединенных Наций. Посредством этого исследования ЮНКТАД стремится собрать данные, необходимые для измерения показателя 17.5.1, в частности, который относится к усилиям, прилагаемым государствами-членами Организации Объединенных Наций по содействию вывозу инвестиций в развивающиеся страны, включая наименее развитые страны (НРС).</w:t>
      </w:r>
    </w:p>
    <w:p w:rsidR="002E15F9" w:rsidRDefault="002E15F9" w:rsidP="00350C2D">
      <w:pPr>
        <w:pStyle w:val="MHeader"/>
        <w:rPr>
          <w:b/>
          <w:color w:val="auto"/>
          <w:sz w:val="24"/>
          <w:szCs w:val="24"/>
          <w:lang w:val="ru-RU"/>
        </w:rPr>
      </w:pPr>
      <w:r w:rsidRPr="00D51C14">
        <w:rPr>
          <w:b/>
          <w:color w:val="auto"/>
          <w:sz w:val="24"/>
          <w:szCs w:val="24"/>
          <w:lang w:val="ru-RU"/>
        </w:rPr>
        <w:t>4. Иные методологические соображения</w:t>
      </w:r>
    </w:p>
    <w:p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372BD0" w:rsidRDefault="00372BD0" w:rsidP="00372BD0">
      <w:r w:rsidRPr="00372BD0">
        <w:t xml:space="preserve">Задача 17.5 направлена ​​на принятие и внедрение режимов поощрения инвестиций для наименее развитых стран (НРС). Для задачи 17.5 необходимо выяснить, в скольких странах действуют режимы поощрения инвестиций, которые могут принести непосредственную пользу НРС. Таким образом, показатель ЦУР 17.5.1, количество стран, которые принимают и реализуют режимы поощрения инвестиций для развивающихся </w:t>
      </w:r>
      <w:r w:rsidRPr="00372BD0">
        <w:lastRenderedPageBreak/>
        <w:t>стран, включая наименее развитые страны, был выбран в систему показателей для оценки достижения этой цели.</w:t>
      </w:r>
    </w:p>
    <w:p w:rsidR="002E15F9" w:rsidRPr="00A343D5" w:rsidRDefault="00691BC3" w:rsidP="00691BC3">
      <w:pPr>
        <w:pStyle w:val="MHeader2"/>
        <w:spacing w:line="276" w:lineRule="auto"/>
        <w:rPr>
          <w:color w:val="auto"/>
          <w:sz w:val="24"/>
          <w:szCs w:val="24"/>
          <w:lang w:val="ru-RU"/>
        </w:rPr>
      </w:pPr>
      <w:r w:rsidRPr="00691BC3">
        <w:rPr>
          <w:rFonts w:eastAsiaTheme="minorHAnsi" w:cstheme="minorBidi"/>
          <w:color w:val="auto"/>
          <w:sz w:val="24"/>
          <w:szCs w:val="22"/>
          <w:lang w:val="ru-RU" w:eastAsia="en-US"/>
        </w:rPr>
        <w:t xml:space="preserve"> </w:t>
      </w:r>
      <w:r w:rsidR="002E15F9" w:rsidRPr="00A343D5">
        <w:rPr>
          <w:color w:val="auto"/>
          <w:sz w:val="24"/>
          <w:szCs w:val="24"/>
          <w:lang w:val="ru-RU"/>
        </w:rPr>
        <w:t>4.</w:t>
      </w:r>
      <w:r w:rsidR="002E15F9" w:rsidRPr="00A343D5">
        <w:rPr>
          <w:color w:val="auto"/>
          <w:sz w:val="24"/>
          <w:szCs w:val="24"/>
        </w:rPr>
        <w:t>b</w:t>
      </w:r>
      <w:r w:rsidR="002E15F9" w:rsidRPr="00A343D5">
        <w:rPr>
          <w:color w:val="auto"/>
          <w:sz w:val="24"/>
          <w:szCs w:val="24"/>
          <w:lang w:val="ru-RU"/>
        </w:rPr>
        <w:t xml:space="preserve">. </w:t>
      </w:r>
      <w:r w:rsidR="00CA1CB1" w:rsidRPr="00A343D5">
        <w:rPr>
          <w:b/>
          <w:color w:val="auto"/>
          <w:sz w:val="24"/>
          <w:szCs w:val="24"/>
          <w:lang w:val="ru-RU"/>
        </w:rPr>
        <w:t>Комментарии и ограничения</w:t>
      </w:r>
    </w:p>
    <w:p w:rsidR="00372BD0" w:rsidRPr="00372BD0" w:rsidRDefault="00372BD0" w:rsidP="00372BD0">
      <w:pPr>
        <w:rPr>
          <w:lang w:eastAsia="ru-RU"/>
        </w:rPr>
      </w:pPr>
      <w:r w:rsidRPr="00372BD0">
        <w:rPr>
          <w:lang w:eastAsia="ru-RU"/>
        </w:rPr>
        <w:t xml:space="preserve">Показатель 17.5.1 ЦУР призывает к </w:t>
      </w:r>
      <w:proofErr w:type="gramStart"/>
      <w:r w:rsidRPr="00372BD0">
        <w:rPr>
          <w:lang w:eastAsia="ru-RU"/>
        </w:rPr>
        <w:t>измерению</w:t>
      </w:r>
      <w:proofErr w:type="gramEnd"/>
      <w:r w:rsidRPr="00372BD0">
        <w:rPr>
          <w:lang w:eastAsia="ru-RU"/>
        </w:rPr>
        <w:t xml:space="preserve"> как принятия, так и реализации режимов поощрения инвестиций. Принятие режимов поощрения инвестиций для НРС является важным, но недостаточным средством для укрепления глобального партнерства </w:t>
      </w:r>
      <w:r w:rsidR="004C577D">
        <w:rPr>
          <w:lang w:eastAsia="ru-RU"/>
        </w:rPr>
        <w:t>в интересах ЦУР</w:t>
      </w:r>
      <w:r w:rsidRPr="00372BD0">
        <w:rPr>
          <w:lang w:eastAsia="ru-RU"/>
        </w:rPr>
        <w:t xml:space="preserve"> (цель 17). Последующее выполнение этих режимов необходимо для того, чтобы инструмент стал эффективным. Однако получить исчерпывающие и надежные данные о стадии реализации (т.е. сколько инвестиций в НРС было фактически продвинуто с помощью режима поощрения?) </w:t>
      </w:r>
      <w:r>
        <w:rPr>
          <w:lang w:eastAsia="ru-RU"/>
        </w:rPr>
        <w:t>б</w:t>
      </w:r>
      <w:r w:rsidRPr="00372BD0">
        <w:rPr>
          <w:lang w:eastAsia="ru-RU"/>
        </w:rPr>
        <w:t xml:space="preserve">удет сложно. Эти данные обычно не являются общедоступными. Однако до некоторой степени данные могут существовать в агрегированной форме (см. </w:t>
      </w:r>
      <w:r>
        <w:rPr>
          <w:lang w:eastAsia="ru-RU"/>
        </w:rPr>
        <w:t>н</w:t>
      </w:r>
      <w:r w:rsidRPr="00372BD0">
        <w:rPr>
          <w:lang w:eastAsia="ru-RU"/>
        </w:rPr>
        <w:t>иже).</w:t>
      </w:r>
    </w:p>
    <w:p w:rsidR="00372BD0" w:rsidRDefault="00DA3E26" w:rsidP="00372BD0">
      <w:pPr>
        <w:rPr>
          <w:lang w:eastAsia="ru-RU"/>
        </w:rPr>
      </w:pPr>
      <w:r w:rsidRPr="00DA3E26">
        <w:rPr>
          <w:lang w:eastAsia="ru-RU"/>
        </w:rPr>
        <w:t>Кроме того, исследование ЮНКТАД показало, что во многих развитых странах и некоторых странах с развивающейся экономикой действуют национальные режимы поощрения инвестиций, которые поощряют инвестиции за рубежом. Однако обычно такие режимы поощрения доступны для инвестиций в любую страну, а не только для инвестиций в НРС или другие развивающиеся страны. Некоторые типы инструментов инвестиционной политики могут быть более специфичными для конкретной страны, например, двусторонние инвестиционные договоры (ДИД). Отчетность по показателям началась с предварительных оценок по ДИД, основанных на комплексных и конкретных данных ЮНКТАД по ДИД по каждой стране. За последнее десятилетие сформировался широкий консенсус относительно необходимости реформирования режима ДИД. ЮНКТАД предоставляет подробные политические рекомендации для поддержки реформ в странах и регионах. Данные о фактическом числе стран со схемой поощрения вывоза ПИИ, которая может принести пользу развивающимся странам, включая НРС, представляют собой более точное измерение этого показателя.</w:t>
      </w:r>
    </w:p>
    <w:p w:rsidR="00D273C6" w:rsidRDefault="002E15F9" w:rsidP="00372BD0">
      <w:pPr>
        <w:pStyle w:val="MHeader2"/>
        <w:spacing w:line="276" w:lineRule="auto"/>
        <w:rPr>
          <w:color w:val="auto"/>
          <w:sz w:val="24"/>
          <w:szCs w:val="24"/>
          <w:lang w:val="ru-RU"/>
        </w:rPr>
      </w:pPr>
      <w:r w:rsidRPr="008501F4">
        <w:rPr>
          <w:color w:val="auto"/>
          <w:sz w:val="24"/>
          <w:szCs w:val="24"/>
          <w:lang w:val="ru-RU"/>
        </w:rPr>
        <w:t>4.</w:t>
      </w:r>
      <w:r w:rsidRPr="004F3B53">
        <w:rPr>
          <w:color w:val="auto"/>
          <w:sz w:val="24"/>
          <w:szCs w:val="24"/>
        </w:rPr>
        <w:t>c</w:t>
      </w:r>
      <w:r w:rsidRPr="004F3B53">
        <w:rPr>
          <w:color w:val="auto"/>
          <w:sz w:val="24"/>
          <w:szCs w:val="24"/>
          <w:lang w:val="ru-RU"/>
        </w:rPr>
        <w:t xml:space="preserve">. </w:t>
      </w:r>
      <w:r w:rsidR="00CA1CB1" w:rsidRPr="004F3B53">
        <w:rPr>
          <w:b/>
          <w:color w:val="auto"/>
          <w:sz w:val="24"/>
          <w:szCs w:val="24"/>
          <w:lang w:val="ru-RU"/>
        </w:rPr>
        <w:t>Метод расчета</w:t>
      </w:r>
      <w:r w:rsidR="00CA1CB1" w:rsidRPr="008501F4">
        <w:rPr>
          <w:color w:val="auto"/>
          <w:sz w:val="24"/>
          <w:szCs w:val="24"/>
          <w:lang w:val="ru-RU"/>
        </w:rPr>
        <w:t xml:space="preserve"> </w:t>
      </w:r>
    </w:p>
    <w:p w:rsidR="00595671" w:rsidRPr="00595671" w:rsidRDefault="00595671" w:rsidP="00595671">
      <w:r w:rsidRPr="00595671">
        <w:t>Предлагаемый метод расчета включает следующее при составлении показателя 17.5.1 ЦУР:</w:t>
      </w:r>
    </w:p>
    <w:p w:rsidR="00595671" w:rsidRPr="00DA3E26" w:rsidRDefault="001B7801" w:rsidP="00595671">
      <w:pPr>
        <w:rPr>
          <w:b/>
        </w:rPr>
      </w:pPr>
      <w:proofErr w:type="gramStart"/>
      <w:r>
        <w:rPr>
          <w:b/>
          <w:lang w:val="en-US"/>
        </w:rPr>
        <w:t>a</w:t>
      </w:r>
      <w:proofErr w:type="gramEnd"/>
      <w:r w:rsidR="00595671" w:rsidRPr="00DA3E26">
        <w:rPr>
          <w:b/>
        </w:rPr>
        <w:t>. Целевые страны режимов поощрения внешних инвестиций</w:t>
      </w:r>
    </w:p>
    <w:p w:rsidR="00595671" w:rsidRPr="00595671" w:rsidRDefault="00595671" w:rsidP="00595671">
      <w:r w:rsidRPr="00595671">
        <w:t xml:space="preserve">Методология </w:t>
      </w:r>
      <w:r w:rsidR="00466D84">
        <w:t>показателя</w:t>
      </w:r>
      <w:r w:rsidRPr="00595671">
        <w:t xml:space="preserve"> охватывает как:</w:t>
      </w:r>
    </w:p>
    <w:p w:rsidR="00595671" w:rsidRPr="00595671" w:rsidRDefault="00595671" w:rsidP="00DA3E26">
      <w:pPr>
        <w:pStyle w:val="ac"/>
        <w:numPr>
          <w:ilvl w:val="0"/>
          <w:numId w:val="28"/>
        </w:numPr>
      </w:pPr>
      <w:r w:rsidRPr="00595671">
        <w:t>особые режимы поощрения инвестиций, предназначенные только для НРС;</w:t>
      </w:r>
    </w:p>
    <w:p w:rsidR="00595671" w:rsidRPr="00595671" w:rsidRDefault="00595671" w:rsidP="00DA3E26">
      <w:pPr>
        <w:pStyle w:val="ac"/>
        <w:numPr>
          <w:ilvl w:val="0"/>
          <w:numId w:val="28"/>
        </w:numPr>
      </w:pPr>
      <w:r w:rsidRPr="00595671">
        <w:t>Режимы поощрения инвестиций для развивающихся стран в целом, включая НРС.</w:t>
      </w:r>
    </w:p>
    <w:p w:rsidR="00595671" w:rsidRDefault="00595671" w:rsidP="00EA59E3">
      <w:pPr>
        <w:spacing w:after="0"/>
      </w:pPr>
      <w:r w:rsidRPr="00595671">
        <w:t>Измерение должно включать режимы поощрения инвестиций для всех развивающихся стран. Только такой подход обеспечивает получение полной картины поощрения внешних инвестиций с участием НРС в качестве бенефициаров, что лучше соответствует Задаче 17.5. Напротив, ограничение исследований конкретными режимами поощрения только для НРС приведет к неполной информации, поскольку количество НРС, получающих поддержку в рамках режимов поощрения инвестиций для всех развивающихся стран, вероятно, будет намного выше, чем число НРС, получающих выгоду</w:t>
      </w:r>
      <w:r w:rsidR="001B7801" w:rsidRPr="001B7801">
        <w:t xml:space="preserve"> </w:t>
      </w:r>
      <w:r w:rsidR="001B7801">
        <w:t>к</w:t>
      </w:r>
      <w:r w:rsidRPr="00595671">
        <w:t>онкретны</w:t>
      </w:r>
      <w:r w:rsidR="001B7801">
        <w:t xml:space="preserve">х </w:t>
      </w:r>
      <w:r w:rsidRPr="00595671">
        <w:t>режим</w:t>
      </w:r>
      <w:r w:rsidR="001B7801">
        <w:t>ов</w:t>
      </w:r>
      <w:r w:rsidRPr="00595671">
        <w:t xml:space="preserve"> продвижения</w:t>
      </w:r>
      <w:r w:rsidR="001B7801" w:rsidRPr="00595671">
        <w:t xml:space="preserve"> </w:t>
      </w:r>
      <w:r w:rsidR="001B7801">
        <w:t>наименее развитых стран (</w:t>
      </w:r>
      <w:r w:rsidR="001B7801" w:rsidRPr="00595671">
        <w:t>НРС</w:t>
      </w:r>
      <w:r w:rsidR="001B7801">
        <w:t>)</w:t>
      </w:r>
      <w:r w:rsidRPr="00595671">
        <w:t xml:space="preserve">. Таким образом, оба типа учитываются при </w:t>
      </w:r>
      <w:r w:rsidRPr="00595671">
        <w:lastRenderedPageBreak/>
        <w:t>определении стран, которые приняли и внедрили режимы поощрения инвестиций для развивающихся стран, включая наименее развитые страны.</w:t>
      </w:r>
    </w:p>
    <w:p w:rsidR="00EA59E3" w:rsidRPr="00EA59E3" w:rsidRDefault="00EA59E3" w:rsidP="00EA59E3">
      <w:pPr>
        <w:pStyle w:val="a0"/>
      </w:pPr>
    </w:p>
    <w:p w:rsidR="00595671" w:rsidRPr="001B7801" w:rsidRDefault="001B7801" w:rsidP="00EA59E3">
      <w:pPr>
        <w:rPr>
          <w:b/>
        </w:rPr>
      </w:pPr>
      <w:proofErr w:type="gramStart"/>
      <w:r w:rsidRPr="001B7801">
        <w:rPr>
          <w:b/>
          <w:lang w:val="en-US"/>
        </w:rPr>
        <w:t>b</w:t>
      </w:r>
      <w:proofErr w:type="gramEnd"/>
      <w:r w:rsidR="00595671" w:rsidRPr="001B7801">
        <w:rPr>
          <w:b/>
        </w:rPr>
        <w:t>. Типы режимов поощрения внешних инвестиций</w:t>
      </w:r>
    </w:p>
    <w:p w:rsidR="00595671" w:rsidRPr="00595671" w:rsidRDefault="00595671" w:rsidP="00595671">
      <w:r w:rsidRPr="00595671">
        <w:t>На основе консультаций и технико-экономических обоснований того, какие типы режимов поощрения инвестиций следует рассмотреть, предлагается следующая методология:</w:t>
      </w:r>
    </w:p>
    <w:p w:rsidR="00595671" w:rsidRPr="00595671" w:rsidRDefault="00595671" w:rsidP="00595671">
      <w:r w:rsidRPr="00595671">
        <w:t xml:space="preserve">Страны используют различные средства для продвижения иностранных инвестиций за границу (см. Выше «Концепции»). Показатель 17.5.1 будет сосредоточен на юридических инвестиционных инструментах, поскольку соответствующая информация </w:t>
      </w:r>
      <w:r w:rsidR="00EA59E3">
        <w:t>–</w:t>
      </w:r>
      <w:r w:rsidRPr="00595671">
        <w:t xml:space="preserve"> в разной степени </w:t>
      </w:r>
      <w:r w:rsidR="00EA59E3">
        <w:t>–</w:t>
      </w:r>
      <w:r w:rsidRPr="00595671">
        <w:t xml:space="preserve"> обычно общедоступна и, следовательно, ее можно собрать.</w:t>
      </w:r>
    </w:p>
    <w:p w:rsidR="00595671" w:rsidRPr="00595671" w:rsidRDefault="00595671" w:rsidP="00595671">
      <w:r w:rsidRPr="00595671">
        <w:t>Реже доступна информация о неформальных и специальных средствах поощрения внешних инвестиций, таких как консультационные услуги. Доступность надежной информации о таких мерах будет сильно различаться в разных странах. Таким образом, включение такой информации может затруднить международную сопоставимость показателя.</w:t>
      </w:r>
    </w:p>
    <w:p w:rsidR="00595671" w:rsidRDefault="00595671" w:rsidP="00595671">
      <w:r w:rsidRPr="00595671">
        <w:t>Для включения в число стран, которые приняли и внедрили режимы поощрения инвестиций, достаточно наличия хотя бы одного типа инструментов поощрения (например, схемы гарантий инвестиций или МИС с НРС).</w:t>
      </w:r>
    </w:p>
    <w:p w:rsidR="00EA59E3" w:rsidRPr="00EA59E3" w:rsidRDefault="00EA59E3" w:rsidP="00EA59E3">
      <w:pPr>
        <w:pStyle w:val="a0"/>
      </w:pPr>
    </w:p>
    <w:p w:rsidR="00595671" w:rsidRPr="00EA59E3" w:rsidRDefault="00595671" w:rsidP="00595671">
      <w:pPr>
        <w:rPr>
          <w:b/>
        </w:rPr>
      </w:pPr>
      <w:r w:rsidRPr="00EA59E3">
        <w:rPr>
          <w:b/>
        </w:rPr>
        <w:t>c. Принятие и реализация режимов поощрения внешних инвестиций</w:t>
      </w:r>
    </w:p>
    <w:p w:rsidR="00595671" w:rsidRDefault="00595671" w:rsidP="00EA59E3">
      <w:pPr>
        <w:spacing w:after="0"/>
      </w:pPr>
      <w:r w:rsidRPr="00595671">
        <w:t xml:space="preserve">Были проведены консультации и технико-экономические обоснования относительно того, возможно ли - помимо существования режима поощрения внешних инвестиций, т. </w:t>
      </w:r>
      <w:r>
        <w:t>е</w:t>
      </w:r>
      <w:r w:rsidRPr="00595671">
        <w:t xml:space="preserve">. </w:t>
      </w:r>
      <w:r>
        <w:t>б</w:t>
      </w:r>
      <w:r w:rsidRPr="00595671">
        <w:t xml:space="preserve">ыли ли такие инструменты </w:t>
      </w:r>
      <w:r>
        <w:t xml:space="preserve">одобрены </w:t>
      </w:r>
      <w:r w:rsidRPr="00595671">
        <w:t>- также можно было бы изучить, в какой степени этот режим был фактически осуществлен, то есть, действует ли режим или даже если НРС фактически извлекли из него выгоду, например, получив иностранные инвестиции, продвигаемые инвестиционной гарантией. Было решено сфокусировать исследование на принятии системы продвижения как таковой. Для некоторых типов режимов, таких как двусторонние инвестиционные договоры, также могут быть представлены данные для действующих договоров. В противном случае информация о фактической стадии реализации в отдельных странах обычно не является общедоступной; разрозненные данные о ситуации в некоторых странах не могут дать исчерпывающую и надежную картину общей ситуации. Однако, возможно, удастся получить некоторые агрегированные данные на региональном или глобальном уровне (см. Ниже).</w:t>
      </w:r>
    </w:p>
    <w:p w:rsidR="00EA59E3" w:rsidRPr="00EA59E3" w:rsidRDefault="00EA59E3" w:rsidP="00EA59E3">
      <w:pPr>
        <w:pStyle w:val="a0"/>
      </w:pPr>
    </w:p>
    <w:p w:rsidR="00595671" w:rsidRPr="00EA59E3" w:rsidRDefault="00595671" w:rsidP="00595671">
      <w:pPr>
        <w:rPr>
          <w:b/>
        </w:rPr>
      </w:pPr>
      <w:r w:rsidRPr="00EA59E3">
        <w:rPr>
          <w:b/>
        </w:rPr>
        <w:t>d. Охват стран базирования режимами поощрения внешних инвестиций</w:t>
      </w:r>
    </w:p>
    <w:p w:rsidR="00595671" w:rsidRDefault="00595671" w:rsidP="00EA59E3">
      <w:pPr>
        <w:spacing w:after="0"/>
      </w:pPr>
      <w:r w:rsidRPr="00595671">
        <w:t xml:space="preserve">Также возникает вопрос, какие страны следует включить в этот показатель в качестве стран базирования режимов поощрения внешних инвестиций. Индикатор будет включать меры, принятые не только развитыми странами, но и странами с формирующейся рыночной экономикой, таким </w:t>
      </w:r>
      <w:proofErr w:type="gramStart"/>
      <w:r w:rsidRPr="00595671">
        <w:t>образом</w:t>
      </w:r>
      <w:proofErr w:type="gramEnd"/>
      <w:r w:rsidRPr="00595671">
        <w:t xml:space="preserve"> дополнительно измеряя сотрудничество Юг-Юг в этом отношении.</w:t>
      </w:r>
    </w:p>
    <w:p w:rsidR="00EA59E3" w:rsidRDefault="00EA59E3" w:rsidP="00EA59E3">
      <w:pPr>
        <w:pStyle w:val="a0"/>
      </w:pPr>
    </w:p>
    <w:p w:rsidR="00EA59E3" w:rsidRPr="00EA59E3" w:rsidRDefault="00EA59E3" w:rsidP="00EA59E3">
      <w:pPr>
        <w:pStyle w:val="a0"/>
      </w:pPr>
    </w:p>
    <w:p w:rsidR="0063143B" w:rsidRPr="0063143B" w:rsidRDefault="002E15F9" w:rsidP="00F947E9">
      <w:pPr>
        <w:pStyle w:val="MHeader2"/>
        <w:rPr>
          <w:b/>
          <w:color w:val="auto"/>
          <w:sz w:val="24"/>
          <w:lang w:val="ru-RU"/>
        </w:rPr>
      </w:pPr>
      <w:r w:rsidRPr="005501BD">
        <w:rPr>
          <w:b/>
          <w:color w:val="auto"/>
          <w:sz w:val="24"/>
          <w:lang w:val="ru-RU"/>
        </w:rPr>
        <w:lastRenderedPageBreak/>
        <w:t>4.</w:t>
      </w:r>
      <w:r w:rsidRPr="00F947E9">
        <w:rPr>
          <w:b/>
          <w:color w:val="auto"/>
          <w:sz w:val="24"/>
        </w:rPr>
        <w:t>d</w:t>
      </w:r>
      <w:r w:rsidRPr="005501BD">
        <w:rPr>
          <w:b/>
          <w:color w:val="auto"/>
          <w:sz w:val="24"/>
          <w:lang w:val="ru-RU"/>
        </w:rPr>
        <w:t xml:space="preserve">. </w:t>
      </w:r>
      <w:proofErr w:type="spellStart"/>
      <w:r w:rsidR="00694160" w:rsidRPr="00FE175E">
        <w:rPr>
          <w:b/>
          <w:color w:val="auto"/>
          <w:sz w:val="24"/>
          <w:lang w:val="ru-RU"/>
        </w:rPr>
        <w:t>Валидация</w:t>
      </w:r>
      <w:proofErr w:type="spellEnd"/>
    </w:p>
    <w:p w:rsidR="00BB49F6" w:rsidRPr="0056494C" w:rsidRDefault="0056494C" w:rsidP="00BB49F6">
      <w:r w:rsidRPr="0056494C">
        <w:t xml:space="preserve">Исследования ЮНКТАД дополняются ежегодными опросами для обеспечения точности представляемой информации (см. </w:t>
      </w:r>
      <w:r w:rsidR="00502BF9">
        <w:t xml:space="preserve">раздел </w:t>
      </w:r>
      <w:r w:rsidRPr="0056494C">
        <w:t xml:space="preserve">4.f). Информация, собранная посредством </w:t>
      </w:r>
      <w:proofErr w:type="gramStart"/>
      <w:r w:rsidRPr="0056494C">
        <w:t>интернет-исследований</w:t>
      </w:r>
      <w:proofErr w:type="gramEnd"/>
      <w:r w:rsidRPr="0056494C">
        <w:t>, затем проверяется национальными властями.</w:t>
      </w:r>
    </w:p>
    <w:p w:rsidR="002E15F9" w:rsidRDefault="008275D7" w:rsidP="005501BD">
      <w:pPr>
        <w:rPr>
          <w:rStyle w:val="MHeaderChar"/>
          <w:rFonts w:eastAsiaTheme="minorHAnsi"/>
          <w:b/>
          <w:color w:val="auto"/>
          <w:sz w:val="24"/>
          <w:lang w:val="ru-RU"/>
        </w:rPr>
      </w:pPr>
      <w:r w:rsidRPr="008275D7">
        <w:rPr>
          <w:rStyle w:val="MHeaderChar"/>
          <w:rFonts w:eastAsiaTheme="minorHAnsi"/>
          <w:b/>
          <w:color w:val="auto"/>
          <w:sz w:val="24"/>
          <w:lang w:val="ru-RU"/>
        </w:rPr>
        <w:t xml:space="preserve">4.е. </w:t>
      </w:r>
      <w:r w:rsidR="00694160" w:rsidRPr="008275D7">
        <w:rPr>
          <w:rStyle w:val="MHeaderChar"/>
          <w:rFonts w:eastAsiaTheme="minorHAnsi"/>
          <w:b/>
          <w:color w:val="auto"/>
          <w:sz w:val="24"/>
          <w:lang w:val="ru-RU"/>
        </w:rPr>
        <w:t>Корректировки</w:t>
      </w:r>
    </w:p>
    <w:p w:rsidR="00973CD3" w:rsidRPr="00973CD3" w:rsidRDefault="00502BF9" w:rsidP="00973CD3">
      <w:pPr>
        <w:rPr>
          <w:lang w:eastAsia="en-GB"/>
        </w:rPr>
      </w:pPr>
      <w:r w:rsidRPr="00502BF9">
        <w:rPr>
          <w:lang w:eastAsia="en-GB"/>
        </w:rPr>
        <w:t>Опрос 2023 года включал новые вопросы о критериях доступа к схемам поощрения инвестиций.</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3D3043" w:rsidRPr="00502BF9" w:rsidRDefault="003D3043" w:rsidP="00BB49F6">
      <w:pPr>
        <w:pStyle w:val="ac"/>
        <w:numPr>
          <w:ilvl w:val="0"/>
          <w:numId w:val="25"/>
        </w:numPr>
        <w:rPr>
          <w:b/>
        </w:rPr>
      </w:pPr>
      <w:r w:rsidRPr="00502BF9">
        <w:rPr>
          <w:b/>
        </w:rPr>
        <w:t xml:space="preserve">На </w:t>
      </w:r>
      <w:r w:rsidR="00502BF9" w:rsidRPr="00502BF9">
        <w:rPr>
          <w:b/>
        </w:rPr>
        <w:t>страновом уровне:</w:t>
      </w:r>
    </w:p>
    <w:p w:rsidR="00BB49F6" w:rsidRPr="00BB49F6" w:rsidRDefault="00BB49F6" w:rsidP="00BB49F6">
      <w:r w:rsidRPr="00BB49F6">
        <w:t xml:space="preserve">Когда национальные данные отсутствуют, данные могут быть получены через </w:t>
      </w:r>
      <w:proofErr w:type="gramStart"/>
      <w:r w:rsidRPr="00BB49F6">
        <w:t>Интернет-исследования</w:t>
      </w:r>
      <w:proofErr w:type="gramEnd"/>
      <w:r w:rsidRPr="00BB49F6">
        <w:t xml:space="preserve"> во всем мире. Во многих странах есть веб-сайты, которые в той или иной степени предоставляют информацию о национальных режимах поощрения вывоза инвестиций. Эти данные будут проверены национальными властями.</w:t>
      </w:r>
    </w:p>
    <w:p w:rsidR="00BB49F6" w:rsidRPr="00502BF9" w:rsidRDefault="00BB49F6" w:rsidP="00BB49F6">
      <w:pPr>
        <w:pStyle w:val="ac"/>
        <w:numPr>
          <w:ilvl w:val="0"/>
          <w:numId w:val="25"/>
        </w:numPr>
        <w:rPr>
          <w:b/>
        </w:rPr>
      </w:pPr>
      <w:r w:rsidRPr="00502BF9">
        <w:rPr>
          <w:b/>
        </w:rPr>
        <w:t>На региональном и глобальном уровнях</w:t>
      </w:r>
      <w:r w:rsidR="00502BF9" w:rsidRPr="00502BF9">
        <w:rPr>
          <w:b/>
        </w:rPr>
        <w:t>:</w:t>
      </w:r>
    </w:p>
    <w:p w:rsidR="00BB49F6" w:rsidRPr="00BB49F6" w:rsidRDefault="00BB49F6" w:rsidP="00BB49F6">
      <w:r w:rsidRPr="00BB49F6">
        <w:t>Для расчета регионального и глобального уровней недостающие данные могут быть оценены с использованием информации из международных источников (например, баз данных ОЭСР и ЮНКТАД).</w:t>
      </w:r>
    </w:p>
    <w:p w:rsidR="00BB49F6" w:rsidRDefault="00BB49F6" w:rsidP="00BB49F6">
      <w:r w:rsidRPr="00BB49F6">
        <w:t>Такие данные могут быть доступны только в агрегированной форме.</w:t>
      </w:r>
    </w:p>
    <w:p w:rsidR="002E15F9" w:rsidRDefault="002E15F9" w:rsidP="00BB49F6">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rsidR="00A51812" w:rsidRDefault="00A51812" w:rsidP="00502BF9">
      <w:pPr>
        <w:spacing w:after="120"/>
      </w:pPr>
      <w:r w:rsidRPr="00A51812">
        <w:t xml:space="preserve">Как поясняется в разделе «Источники данных», ЮНКТАД при необходимости будет комбинировать данные, собранные от национальных органов, с информацией, полученной из международных баз данных и исследований в Интернете. После того, как данные по стране будут заполнены и проверены в отдельных членах государства, показатель будет рассчитан путем агрегирования данных по стране в конкретном </w:t>
      </w:r>
      <w:proofErr w:type="spellStart"/>
      <w:r w:rsidRPr="00A51812">
        <w:t>субрегионе</w:t>
      </w:r>
      <w:proofErr w:type="spellEnd"/>
      <w:r w:rsidRPr="00A51812">
        <w:t>, регионе и</w:t>
      </w:r>
      <w:r>
        <w:t xml:space="preserve"> на глобальном уровне</w:t>
      </w:r>
      <w:r w:rsidRPr="00A51812">
        <w:t>. Каждая страна, в которой действует хотя бы один тип режима поощрения инвестиций, который поддерживает НРС напрямую или посредством мер, предназначенных для развивающихся стран, будет учитываться один раз для показателя 17.5.1.</w:t>
      </w:r>
    </w:p>
    <w:p w:rsidR="00F56853" w:rsidRDefault="002E15F9" w:rsidP="0092659A">
      <w:pPr>
        <w:rPr>
          <w:b/>
          <w:szCs w:val="24"/>
        </w:rPr>
      </w:pPr>
      <w:r w:rsidRPr="00A343D5">
        <w:rPr>
          <w:szCs w:val="24"/>
        </w:rPr>
        <w:t xml:space="preserve">4.h. </w:t>
      </w:r>
      <w:r w:rsidR="00E27922" w:rsidRPr="00A343D5">
        <w:rPr>
          <w:b/>
          <w:szCs w:val="24"/>
        </w:rPr>
        <w:t>Доступные странам методы для сбора данных на национальном уровне</w:t>
      </w:r>
    </w:p>
    <w:p w:rsidR="00A51812" w:rsidRDefault="00A51812" w:rsidP="00502BF9">
      <w:pPr>
        <w:pStyle w:val="ac"/>
        <w:numPr>
          <w:ilvl w:val="0"/>
          <w:numId w:val="29"/>
        </w:numPr>
        <w:spacing w:after="0"/>
        <w:ind w:hanging="720"/>
      </w:pPr>
      <w:r w:rsidRPr="00A51812">
        <w:t>ЮНКТАД опубликовала руководящие документы, посвященные поощрению внешних инвестиций, с соответствующими определениями и данными:</w:t>
      </w:r>
    </w:p>
    <w:p w:rsidR="00502BF9" w:rsidRPr="00502BF9" w:rsidRDefault="00502BF9" w:rsidP="00502BF9">
      <w:pPr>
        <w:pStyle w:val="a0"/>
        <w:ind w:hanging="720"/>
      </w:pPr>
    </w:p>
    <w:p w:rsidR="00A51812" w:rsidRPr="00A51812" w:rsidRDefault="00A51812" w:rsidP="00502BF9">
      <w:pPr>
        <w:pStyle w:val="ac"/>
        <w:numPr>
          <w:ilvl w:val="0"/>
          <w:numId w:val="29"/>
        </w:numPr>
        <w:ind w:hanging="720"/>
      </w:pPr>
      <w:r w:rsidRPr="00A51812">
        <w:t>Центр инвестиционной политики ЮНКТАД предоставляет определения и данные по адресу: https://investmentpolicy.unctad.org/international-investment-agreements</w:t>
      </w:r>
    </w:p>
    <w:p w:rsidR="00A51812" w:rsidRPr="00A51812" w:rsidRDefault="00A51812" w:rsidP="00502BF9">
      <w:pPr>
        <w:pStyle w:val="ac"/>
        <w:numPr>
          <w:ilvl w:val="0"/>
          <w:numId w:val="29"/>
        </w:numPr>
        <w:ind w:hanging="720"/>
      </w:pPr>
      <w:r w:rsidRPr="00A51812">
        <w:t>Основы инвестиционной политики для устойчивого развития, Нью-Йорк и Женева, 2015 г.</w:t>
      </w:r>
    </w:p>
    <w:p w:rsidR="00A51812" w:rsidRPr="00A51812" w:rsidRDefault="00A51812" w:rsidP="00502BF9">
      <w:pPr>
        <w:pStyle w:val="ac"/>
        <w:numPr>
          <w:ilvl w:val="0"/>
          <w:numId w:val="29"/>
        </w:numPr>
        <w:ind w:hanging="720"/>
      </w:pPr>
      <w:r w:rsidRPr="00A51812">
        <w:t>Агентства по внешним инвестициям: партнеры по содействию устойчивому развитию, Наблюдатель IPA № 4 - 2015.</w:t>
      </w:r>
    </w:p>
    <w:p w:rsidR="00A51812" w:rsidRPr="00A51812" w:rsidRDefault="00A51812" w:rsidP="00502BF9">
      <w:pPr>
        <w:pStyle w:val="ac"/>
        <w:numPr>
          <w:ilvl w:val="0"/>
          <w:numId w:val="29"/>
        </w:numPr>
        <w:ind w:hanging="720"/>
      </w:pPr>
      <w:r w:rsidRPr="00A51812">
        <w:lastRenderedPageBreak/>
        <w:t>Содействие инвестициям в цели устойчивого развития, Серия инвестиционных консультаций, серия A, номер 8, 2019.</w:t>
      </w:r>
    </w:p>
    <w:p w:rsidR="00A51812" w:rsidRDefault="00A51812" w:rsidP="00502BF9">
      <w:pPr>
        <w:pStyle w:val="ac"/>
        <w:numPr>
          <w:ilvl w:val="0"/>
          <w:numId w:val="29"/>
        </w:numPr>
        <w:spacing w:after="0"/>
        <w:ind w:hanging="720"/>
      </w:pPr>
      <w:r w:rsidRPr="00A51812">
        <w:t>Справочник по агентствам и институтам внешних инвестиций, Нью-Йорк и Женева, 1999.</w:t>
      </w:r>
    </w:p>
    <w:p w:rsidR="00502BF9" w:rsidRPr="00A51812" w:rsidRDefault="00502BF9" w:rsidP="00502BF9">
      <w:pPr>
        <w:pStyle w:val="ac"/>
        <w:spacing w:after="0"/>
      </w:pPr>
    </w:p>
    <w:p w:rsidR="00A51812" w:rsidRDefault="00A51812" w:rsidP="00502BF9">
      <w:pPr>
        <w:spacing w:after="120"/>
      </w:pPr>
      <w:r w:rsidRPr="00A51812">
        <w:t>Конкретные рекомендации для стран о том, как собирать данные на национальном уровне, содержатся в вопроснике, который ЮНКТАД разработала и разослала агентствам по поощрению внешних инвестиций.</w:t>
      </w:r>
    </w:p>
    <w:p w:rsidR="00151C00" w:rsidRDefault="002E15F9" w:rsidP="00A51812">
      <w:pPr>
        <w:pStyle w:val="MHeader"/>
        <w:rPr>
          <w:b/>
          <w:color w:val="auto"/>
          <w:sz w:val="24"/>
          <w:lang w:val="ru-RU"/>
        </w:rPr>
      </w:pPr>
      <w:r w:rsidRPr="007A45FD">
        <w:rPr>
          <w:b/>
          <w:color w:val="auto"/>
          <w:sz w:val="24"/>
          <w:lang w:val="ru-RU"/>
        </w:rPr>
        <w:t>4.</w:t>
      </w:r>
      <w:proofErr w:type="spellStart"/>
      <w:r w:rsidRPr="00EF24FF">
        <w:rPr>
          <w:b/>
          <w:color w:val="auto"/>
          <w:sz w:val="24"/>
        </w:rPr>
        <w:t>i</w:t>
      </w:r>
      <w:proofErr w:type="spellEnd"/>
      <w:r w:rsidRPr="007A45FD">
        <w:rPr>
          <w:b/>
          <w:color w:val="auto"/>
          <w:sz w:val="24"/>
          <w:lang w:val="ru-RU"/>
        </w:rPr>
        <w:t xml:space="preserve">. </w:t>
      </w:r>
      <w:r w:rsidR="00E27922" w:rsidRPr="007A45FD">
        <w:rPr>
          <w:b/>
          <w:color w:val="auto"/>
          <w:sz w:val="24"/>
          <w:lang w:val="ru-RU"/>
        </w:rPr>
        <w:t>Управление качеством</w:t>
      </w:r>
      <w:r w:rsidR="000C224E" w:rsidRPr="007A45FD">
        <w:rPr>
          <w:b/>
          <w:color w:val="auto"/>
          <w:sz w:val="24"/>
          <w:lang w:val="ru-RU"/>
        </w:rPr>
        <w:t xml:space="preserve"> </w:t>
      </w:r>
    </w:p>
    <w:p w:rsidR="005D25E8" w:rsidRDefault="005D25E8" w:rsidP="005D25E8">
      <w:r w:rsidRPr="005D25E8">
        <w:t>Для управления качеством данных показателей ЮНКТАД в тесном сотрудничестве с государствами-членами работает над обновлением Навигатора МИС, а также над международными инвестиционными соглашениями и их реформированием, оказанием технической помощи и проведением межправительственных встреч в рамках более широкого мандата ЮНКТАД в</w:t>
      </w:r>
      <w:r>
        <w:t xml:space="preserve"> этой области</w:t>
      </w:r>
      <w:r w:rsidRPr="005D25E8">
        <w:t>.</w:t>
      </w:r>
    </w:p>
    <w:p w:rsidR="00151C00" w:rsidRDefault="002E15F9" w:rsidP="00B8481C">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rsidR="005D25E8" w:rsidRDefault="005D25E8" w:rsidP="005D25E8">
      <w:r w:rsidRPr="005D25E8">
        <w:t>Данные, полученные от государств-членов, пройдут тщательную проверку. После проверки информации и включения информации из дополнительных источников любые вопросы для разъяснения или предложения передаются государствам-членам для рассмотрения</w:t>
      </w:r>
      <w:r>
        <w:t>.</w:t>
      </w:r>
    </w:p>
    <w:p w:rsidR="00E06527" w:rsidRDefault="0075371E" w:rsidP="00423295">
      <w:pPr>
        <w:pStyle w:val="MHeader"/>
        <w:rPr>
          <w:b/>
          <w:color w:val="auto"/>
          <w:sz w:val="24"/>
          <w:lang w:val="ru-RU"/>
        </w:rPr>
      </w:pPr>
      <w:r w:rsidRPr="002D493B">
        <w:rPr>
          <w:b/>
          <w:color w:val="auto"/>
          <w:sz w:val="24"/>
          <w:lang w:val="ru-RU"/>
        </w:rPr>
        <w:t>4.</w:t>
      </w:r>
      <w:r w:rsidRPr="00333E4E">
        <w:rPr>
          <w:b/>
          <w:color w:val="auto"/>
          <w:sz w:val="24"/>
        </w:rPr>
        <w:t>k</w:t>
      </w:r>
      <w:r w:rsidRPr="002D493B">
        <w:rPr>
          <w:b/>
          <w:color w:val="auto"/>
          <w:sz w:val="24"/>
          <w:lang w:val="ru-RU"/>
        </w:rPr>
        <w:t>. Оценка качества</w:t>
      </w:r>
    </w:p>
    <w:p w:rsidR="005D25E8" w:rsidRDefault="005D25E8" w:rsidP="005D25E8">
      <w:r w:rsidRPr="005D25E8">
        <w:t>В настоящее время исчерпывающие данные доступны только по двусторонним инвестиционным договорам. В отношении других типов режимов поощрения инвестиций продолжается работа по совершенствованию отчетности совместно с государствами-членами.</w:t>
      </w:r>
    </w:p>
    <w:p w:rsidR="002E15F9" w:rsidRPr="00A343D5" w:rsidRDefault="002E15F9" w:rsidP="00CD238E">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Доступность и дезагрег</w:t>
      </w:r>
      <w:r w:rsidR="00502BF9">
        <w:rPr>
          <w:b/>
          <w:color w:val="auto"/>
          <w:sz w:val="24"/>
          <w:szCs w:val="24"/>
          <w:lang w:val="ru-RU"/>
        </w:rPr>
        <w:t>ация</w:t>
      </w:r>
      <w:r w:rsidR="0075371E" w:rsidRPr="00EA60C7">
        <w:rPr>
          <w:b/>
          <w:color w:val="auto"/>
          <w:sz w:val="24"/>
          <w:szCs w:val="24"/>
          <w:lang w:val="ru-RU"/>
        </w:rPr>
        <w:t xml:space="preserve"> данных</w:t>
      </w:r>
    </w:p>
    <w:p w:rsidR="0083636B" w:rsidRPr="00917CA0" w:rsidRDefault="0083636B" w:rsidP="005D25E8">
      <w:pPr>
        <w:rPr>
          <w:b/>
        </w:rPr>
      </w:pPr>
      <w:r w:rsidRPr="00917CA0">
        <w:rPr>
          <w:b/>
        </w:rPr>
        <w:t>Доступность данных:</w:t>
      </w:r>
    </w:p>
    <w:p w:rsidR="00917CA0" w:rsidRDefault="00917CA0" w:rsidP="00917CA0">
      <w:r>
        <w:t xml:space="preserve">В настоящее время доступны результаты, основанные на </w:t>
      </w:r>
      <w:proofErr w:type="gramStart"/>
      <w:r>
        <w:t>подробном</w:t>
      </w:r>
      <w:proofErr w:type="gramEnd"/>
      <w:r>
        <w:t xml:space="preserve"> онлайн-анкете о существующих режимах поощрения внешних инвестиций, которые могут принести пользу развивающимся странам, включая НРС. Ответы были получены из 35 стран. Полученные ответы существенно различаются по степени содержания и детализации.</w:t>
      </w:r>
    </w:p>
    <w:p w:rsidR="005D25E8" w:rsidRDefault="00917CA0" w:rsidP="00917CA0">
      <w:pPr>
        <w:spacing w:after="0"/>
      </w:pPr>
      <w:r>
        <w:t>Дополнительные данные будут доступны на веб-сайтах правитель</w:t>
      </w:r>
      <w:proofErr w:type="gramStart"/>
      <w:r>
        <w:t>ств стр</w:t>
      </w:r>
      <w:proofErr w:type="gramEnd"/>
      <w:r>
        <w:t xml:space="preserve">ан базирования. В 2022 году </w:t>
      </w:r>
      <w:proofErr w:type="gramStart"/>
      <w:r>
        <w:t>собственные</w:t>
      </w:r>
      <w:proofErr w:type="gramEnd"/>
      <w:r>
        <w:t xml:space="preserve"> интернет-исследования предоставили информацию еще по 15 странам.</w:t>
      </w:r>
    </w:p>
    <w:p w:rsidR="00917CA0" w:rsidRPr="00917CA0" w:rsidRDefault="00917CA0" w:rsidP="00917CA0">
      <w:pPr>
        <w:pStyle w:val="a0"/>
      </w:pPr>
    </w:p>
    <w:p w:rsidR="005D25E8" w:rsidRPr="00917CA0" w:rsidRDefault="005D25E8" w:rsidP="005D25E8">
      <w:pPr>
        <w:rPr>
          <w:b/>
        </w:rPr>
      </w:pPr>
      <w:r w:rsidRPr="00917CA0">
        <w:rPr>
          <w:b/>
        </w:rPr>
        <w:t>Временные ряды:</w:t>
      </w:r>
    </w:p>
    <w:p w:rsidR="00917CA0" w:rsidRDefault="00917CA0" w:rsidP="005D25E8">
      <w:r w:rsidRPr="00917CA0">
        <w:t>Ввиду изменения показателя, используемого для измерения этого показателя в 2023 году, базовым годом является 2022 год. Данные о международных инвестиционных соглашениях (МИ</w:t>
      </w:r>
      <w:r w:rsidR="00466D84">
        <w:t>С</w:t>
      </w:r>
      <w:bookmarkStart w:id="5" w:name="_GoBack"/>
      <w:bookmarkEnd w:id="5"/>
      <w:r w:rsidRPr="00917CA0">
        <w:t xml:space="preserve">), заключенных с НРС, которые представляли собой первоначальное измерение этого показателя, по-прежнему доступны на сайте Навигатор ЮНКТАД по МИС: </w:t>
      </w:r>
      <w:hyperlink r:id="rId9" w:history="1">
        <w:r w:rsidRPr="00855252">
          <w:rPr>
            <w:rStyle w:val="ad"/>
          </w:rPr>
          <w:t>https://investmentpolicy.unctad.org/international-investment-agreements</w:t>
        </w:r>
      </w:hyperlink>
      <w:r w:rsidRPr="00917CA0">
        <w:t>.</w:t>
      </w:r>
    </w:p>
    <w:p w:rsidR="00917CA0" w:rsidRDefault="00917CA0" w:rsidP="005D25E8">
      <w:pPr>
        <w:rPr>
          <w:b/>
        </w:rPr>
      </w:pPr>
    </w:p>
    <w:p w:rsidR="005D25E8" w:rsidRPr="00917CA0" w:rsidRDefault="005D25E8" w:rsidP="005D25E8">
      <w:pPr>
        <w:rPr>
          <w:b/>
        </w:rPr>
      </w:pPr>
      <w:r w:rsidRPr="00917CA0">
        <w:rPr>
          <w:b/>
        </w:rPr>
        <w:t>Дезагрегация:</w:t>
      </w:r>
    </w:p>
    <w:p w:rsidR="005D25E8" w:rsidRPr="005D25E8" w:rsidRDefault="005D25E8" w:rsidP="005D25E8">
      <w:r w:rsidRPr="005D25E8">
        <w:t>В будущем и в той мере, в какой будет доступна информация, показатель 17.5.1 можно будет дезагрегировать по типам режимов поощрения инвестиций, которые страны базирования принимают для развивающихся стран, включая НРС (например, инвестиционные гарантии, фискальная и финансовая помощь, МИС).</w:t>
      </w:r>
    </w:p>
    <w:p w:rsidR="005D25E8" w:rsidRDefault="005D25E8" w:rsidP="00917CA0">
      <w:pPr>
        <w:spacing w:after="0"/>
      </w:pPr>
      <w:r w:rsidRPr="005D25E8">
        <w:t>Возможна также географическая разбивка внедрения схем поощрения инвестиций.</w:t>
      </w:r>
    </w:p>
    <w:p w:rsidR="00917CA0" w:rsidRPr="00917CA0" w:rsidRDefault="00917CA0" w:rsidP="00917CA0">
      <w:pPr>
        <w:pStyle w:val="a0"/>
      </w:pPr>
    </w:p>
    <w:p w:rsidR="002E15F9" w:rsidRDefault="00845FE2" w:rsidP="005D25E8">
      <w:pPr>
        <w:pStyle w:val="MHeader"/>
        <w:spacing w:after="100"/>
        <w:rPr>
          <w:b/>
          <w:color w:val="auto"/>
          <w:sz w:val="24"/>
          <w:szCs w:val="24"/>
          <w:lang w:val="ru-RU"/>
        </w:rPr>
      </w:pPr>
      <w:r>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BA61D3" w:rsidRPr="009353F7" w:rsidRDefault="00BA61D3" w:rsidP="006261EE">
      <w:pPr>
        <w:rPr>
          <w:b/>
        </w:rPr>
      </w:pPr>
      <w:r w:rsidRPr="009353F7">
        <w:rPr>
          <w:b/>
        </w:rPr>
        <w:t>Источники расхождений:</w:t>
      </w:r>
    </w:p>
    <w:p w:rsidR="0075737E" w:rsidRDefault="0075737E" w:rsidP="0075737E">
      <w:r>
        <w:t>Как упоминалось выше, в странах действуют разные режимы поощрения внешних инвестиций. Существуют различия относительно:</w:t>
      </w:r>
    </w:p>
    <w:p w:rsidR="0075737E" w:rsidRDefault="0075737E" w:rsidP="009353F7">
      <w:pPr>
        <w:pStyle w:val="ac"/>
        <w:numPr>
          <w:ilvl w:val="0"/>
          <w:numId w:val="30"/>
        </w:numPr>
        <w:ind w:hanging="720"/>
      </w:pPr>
      <w:r>
        <w:t>специфики системы (направлена ​​ли она исключительно на инвестиции в НРС или инвестиции в какие-либо развивающиеся страны?);</w:t>
      </w:r>
    </w:p>
    <w:p w:rsidR="0075737E" w:rsidRDefault="0075737E" w:rsidP="009353F7">
      <w:pPr>
        <w:pStyle w:val="ac"/>
        <w:numPr>
          <w:ilvl w:val="0"/>
          <w:numId w:val="30"/>
        </w:numPr>
        <w:ind w:hanging="720"/>
      </w:pPr>
      <w:r>
        <w:t>типа и количества инструментов поощрения инвестиций (инвестиционные гарантии, фискальная или финансовая поддержка, МИС);</w:t>
      </w:r>
    </w:p>
    <w:p w:rsidR="0075737E" w:rsidRDefault="0075737E" w:rsidP="009353F7">
      <w:pPr>
        <w:pStyle w:val="ac"/>
        <w:numPr>
          <w:ilvl w:val="0"/>
          <w:numId w:val="30"/>
        </w:numPr>
        <w:ind w:hanging="720"/>
      </w:pPr>
      <w:r>
        <w:t>степени поощрения инвестиций (какую поддержку обеспечивает индивидуальная мера продвижения?), и</w:t>
      </w:r>
    </w:p>
    <w:p w:rsidR="0075737E" w:rsidRDefault="0075737E" w:rsidP="009353F7">
      <w:pPr>
        <w:pStyle w:val="ac"/>
        <w:numPr>
          <w:ilvl w:val="0"/>
          <w:numId w:val="30"/>
        </w:numPr>
        <w:ind w:hanging="720"/>
      </w:pPr>
      <w:r>
        <w:t xml:space="preserve">фактического влияния режима поощрения инвестиций (сколько инвестиций было сделано в рамках режима </w:t>
      </w:r>
      <w:proofErr w:type="gramStart"/>
      <w:r>
        <w:t>поощрения</w:t>
      </w:r>
      <w:proofErr w:type="gramEnd"/>
      <w:r>
        <w:t xml:space="preserve"> инвестиций и </w:t>
      </w:r>
      <w:proofErr w:type="gramStart"/>
      <w:r>
        <w:t>какое</w:t>
      </w:r>
      <w:proofErr w:type="gramEnd"/>
      <w:r>
        <w:t xml:space="preserve"> влияние они оказывают на НРС?).</w:t>
      </w:r>
    </w:p>
    <w:p w:rsidR="009353F7" w:rsidRDefault="009353F7" w:rsidP="009353F7">
      <w:pPr>
        <w:pStyle w:val="ac"/>
        <w:spacing w:after="0"/>
      </w:pPr>
    </w:p>
    <w:p w:rsidR="0075737E" w:rsidRDefault="0075737E" w:rsidP="0075737E">
      <w:r>
        <w:t xml:space="preserve">Показатель 17.5.1 измеряет количество стран, в которых действует режим поощрения инвестиций для развивающихся стран, включая НРС. Подсчет этого числа не может дать полной картины содержания и воздействия этих режимов. Аналогичным образом, он не делает различий между странами с разными типами режимов </w:t>
      </w:r>
      <w:r w:rsidR="009353F7">
        <w:t>–</w:t>
      </w:r>
      <w:r>
        <w:t xml:space="preserve"> за исключением разницы между странами, которые поощряют вывоз инвестиций в НРС посредством специальной системы поощрения для НРС, и странами с более общим режимом поощрения. Следовательно, дезагрег</w:t>
      </w:r>
      <w:r w:rsidR="009353F7">
        <w:t>ацию</w:t>
      </w:r>
      <w:r>
        <w:t xml:space="preserve"> показателя следует постепенно увеличивать по мере появления большего количества данных. Дальнейшая работа по оценке «реализации» режимов поощрения инвестиций для развивающихся стран, включая НРС, может быть продолжена в более долгосрочной перспективе.</w:t>
      </w:r>
    </w:p>
    <w:p w:rsidR="00333E4E" w:rsidRPr="00E06527" w:rsidRDefault="00845FE2" w:rsidP="0075737E">
      <w:pPr>
        <w:pBdr>
          <w:bottom w:val="single" w:sz="12" w:space="4" w:color="DDDDDD"/>
        </w:pBdr>
        <w:shd w:val="clear" w:color="auto" w:fill="FFFFFF"/>
        <w:spacing w:after="100"/>
        <w:outlineLvl w:val="2"/>
        <w:rPr>
          <w:lang w:eastAsia="en-GB"/>
        </w:rPr>
      </w:pPr>
      <w:r w:rsidRPr="00E06527">
        <w:rPr>
          <w:rFonts w:eastAsia="Times New Roman" w:cs="Times New Roman"/>
          <w:b/>
          <w:szCs w:val="24"/>
          <w:lang w:eastAsia="en-GB"/>
        </w:rPr>
        <w:t>7</w:t>
      </w:r>
      <w:r w:rsidR="00040034" w:rsidRPr="00E06527">
        <w:rPr>
          <w:rFonts w:eastAsia="Times New Roman" w:cs="Times New Roman"/>
          <w:b/>
          <w:szCs w:val="24"/>
          <w:lang w:eastAsia="en-GB"/>
        </w:rPr>
        <w:t xml:space="preserve">. </w:t>
      </w:r>
      <w:r w:rsidR="00040034" w:rsidRPr="00A343D5">
        <w:rPr>
          <w:rFonts w:eastAsia="Times New Roman" w:cs="Times New Roman"/>
          <w:b/>
          <w:szCs w:val="24"/>
          <w:lang w:eastAsia="en-GB"/>
        </w:rPr>
        <w:t>Ссылки</w:t>
      </w:r>
      <w:r w:rsidR="00040034" w:rsidRPr="00E06527">
        <w:rPr>
          <w:rFonts w:eastAsia="Times New Roman" w:cs="Times New Roman"/>
          <w:b/>
          <w:szCs w:val="24"/>
          <w:lang w:eastAsia="en-GB"/>
        </w:rPr>
        <w:t xml:space="preserve"> </w:t>
      </w:r>
      <w:r w:rsidR="00040034" w:rsidRPr="00A343D5">
        <w:rPr>
          <w:rFonts w:eastAsia="Times New Roman" w:cs="Times New Roman"/>
          <w:b/>
          <w:szCs w:val="24"/>
          <w:lang w:eastAsia="en-GB"/>
        </w:rPr>
        <w:t>и</w:t>
      </w:r>
      <w:r w:rsidR="00040034" w:rsidRPr="00E06527">
        <w:rPr>
          <w:rFonts w:eastAsia="Times New Roman" w:cs="Times New Roman"/>
          <w:b/>
          <w:szCs w:val="24"/>
          <w:lang w:eastAsia="en-GB"/>
        </w:rPr>
        <w:t xml:space="preserve"> </w:t>
      </w:r>
      <w:r w:rsidR="00040034" w:rsidRPr="00A343D5">
        <w:rPr>
          <w:rFonts w:eastAsia="Times New Roman" w:cs="Times New Roman"/>
          <w:b/>
          <w:szCs w:val="24"/>
          <w:lang w:eastAsia="en-GB"/>
        </w:rPr>
        <w:t>документы</w:t>
      </w:r>
    </w:p>
    <w:p w:rsidR="006261EE" w:rsidRPr="009353F7" w:rsidRDefault="006261EE" w:rsidP="006261EE">
      <w:pPr>
        <w:rPr>
          <w:b/>
        </w:rPr>
      </w:pPr>
      <w:r w:rsidRPr="009353F7">
        <w:rPr>
          <w:b/>
        </w:rPr>
        <w:t>URL:</w:t>
      </w:r>
    </w:p>
    <w:p w:rsidR="007B2DAD" w:rsidRDefault="00466D84" w:rsidP="007B2DAD">
      <w:hyperlink r:id="rId10" w:history="1">
        <w:r w:rsidR="009353F7" w:rsidRPr="00855252">
          <w:rPr>
            <w:rStyle w:val="ad"/>
          </w:rPr>
          <w:t>https://unctad.org/statistics</w:t>
        </w:r>
      </w:hyperlink>
    </w:p>
    <w:p w:rsidR="007B2DAD" w:rsidRDefault="00466D84" w:rsidP="007B2DAD">
      <w:hyperlink r:id="rId11" w:history="1">
        <w:r w:rsidR="009353F7" w:rsidRPr="00855252">
          <w:rPr>
            <w:rStyle w:val="ad"/>
          </w:rPr>
          <w:t>https://investmentpolicy.unctad.org/international-investment-agreements</w:t>
        </w:r>
      </w:hyperlink>
    </w:p>
    <w:p w:rsidR="007B2DAD" w:rsidRDefault="00466D84" w:rsidP="007B2DAD">
      <w:hyperlink r:id="rId12" w:history="1">
        <w:r w:rsidR="009353F7" w:rsidRPr="00855252">
          <w:rPr>
            <w:rStyle w:val="ad"/>
          </w:rPr>
          <w:t>https://unctadstat.unctad.org</w:t>
        </w:r>
      </w:hyperlink>
    </w:p>
    <w:p w:rsidR="0049008B" w:rsidRPr="007B2DAD" w:rsidRDefault="00466D84" w:rsidP="007B2DAD">
      <w:pPr>
        <w:rPr>
          <w:lang w:eastAsia="en-GB"/>
        </w:rPr>
      </w:pPr>
      <w:hyperlink r:id="rId13" w:history="1">
        <w:r w:rsidR="009353F7" w:rsidRPr="00855252">
          <w:rPr>
            <w:rStyle w:val="ad"/>
          </w:rPr>
          <w:t>https://unctad.org/en/pages/DIAE/DIAE.aspx</w:t>
        </w:r>
      </w:hyperlink>
    </w:p>
    <w:sectPr w:rsidR="0049008B" w:rsidRPr="007B2DAD">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E5" w:rsidRDefault="007509E5" w:rsidP="00F73DBC">
      <w:pPr>
        <w:spacing w:after="0" w:line="240" w:lineRule="auto"/>
      </w:pPr>
      <w:r>
        <w:separator/>
      </w:r>
    </w:p>
  </w:endnote>
  <w:endnote w:type="continuationSeparator" w:id="0">
    <w:p w:rsidR="007509E5" w:rsidRDefault="007509E5"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E5" w:rsidRDefault="007509E5" w:rsidP="00F73DBC">
      <w:pPr>
        <w:spacing w:after="0" w:line="240" w:lineRule="auto"/>
      </w:pPr>
      <w:r>
        <w:separator/>
      </w:r>
    </w:p>
  </w:footnote>
  <w:footnote w:type="continuationSeparator" w:id="0">
    <w:p w:rsidR="007509E5" w:rsidRDefault="007509E5"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3B" w:rsidRDefault="0031253B" w:rsidP="009508D1">
    <w:pPr>
      <w:pStyle w:val="af"/>
      <w:jc w:val="right"/>
      <w:rPr>
        <w:i/>
      </w:rPr>
    </w:pPr>
    <w:r w:rsidRPr="009508D1">
      <w:rPr>
        <w:i/>
      </w:rPr>
      <w:t>Неофициальный перевод</w:t>
    </w:r>
    <w:r>
      <w:rPr>
        <w:i/>
      </w:rPr>
      <w:t xml:space="preserve"> </w:t>
    </w:r>
  </w:p>
  <w:p w:rsidR="0031253B" w:rsidRPr="009508D1" w:rsidRDefault="0031253B" w:rsidP="009508D1">
    <w:pPr>
      <w:pStyle w:val="af"/>
      <w:jc w:val="right"/>
    </w:pPr>
    <w:r>
      <w:t xml:space="preserve">Последнее обновление: </w:t>
    </w:r>
    <w:r w:rsidR="009C2923">
      <w:t xml:space="preserve">октябрь </w:t>
    </w:r>
    <w:r>
      <w:t>202</w:t>
    </w:r>
    <w:r w:rsidR="009C2923">
      <w:t>3</w:t>
    </w:r>
  </w:p>
  <w:p w:rsidR="0031253B" w:rsidRDefault="0031253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9E"/>
    <w:multiLevelType w:val="hybridMultilevel"/>
    <w:tmpl w:val="5C1E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11E55"/>
    <w:multiLevelType w:val="hybridMultilevel"/>
    <w:tmpl w:val="AC641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F2B10"/>
    <w:multiLevelType w:val="hybridMultilevel"/>
    <w:tmpl w:val="5B54F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8352C"/>
    <w:multiLevelType w:val="hybridMultilevel"/>
    <w:tmpl w:val="4A82E50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A0C42"/>
    <w:multiLevelType w:val="hybridMultilevel"/>
    <w:tmpl w:val="22C43998"/>
    <w:lvl w:ilvl="0" w:tplc="679E9D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E5AF6"/>
    <w:multiLevelType w:val="hybridMultilevel"/>
    <w:tmpl w:val="C0A29C9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D35FD"/>
    <w:multiLevelType w:val="hybridMultilevel"/>
    <w:tmpl w:val="F9944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4321A"/>
    <w:multiLevelType w:val="hybridMultilevel"/>
    <w:tmpl w:val="AEA8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7E74D4"/>
    <w:multiLevelType w:val="hybridMultilevel"/>
    <w:tmpl w:val="C7C8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0B4E66"/>
    <w:multiLevelType w:val="hybridMultilevel"/>
    <w:tmpl w:val="71DA5AD4"/>
    <w:lvl w:ilvl="0" w:tplc="AC92F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2C5443"/>
    <w:multiLevelType w:val="hybridMultilevel"/>
    <w:tmpl w:val="6C90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1B4257"/>
    <w:multiLevelType w:val="hybridMultilevel"/>
    <w:tmpl w:val="8048D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3A017C"/>
    <w:multiLevelType w:val="hybridMultilevel"/>
    <w:tmpl w:val="F0187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44A1E"/>
    <w:multiLevelType w:val="hybridMultilevel"/>
    <w:tmpl w:val="34CCF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E10E2"/>
    <w:multiLevelType w:val="hybridMultilevel"/>
    <w:tmpl w:val="539879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6F14BB9"/>
    <w:multiLevelType w:val="hybridMultilevel"/>
    <w:tmpl w:val="91922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2E4E5E"/>
    <w:multiLevelType w:val="hybridMultilevel"/>
    <w:tmpl w:val="6D049FA0"/>
    <w:lvl w:ilvl="0" w:tplc="63FC1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C28DC"/>
    <w:multiLevelType w:val="hybridMultilevel"/>
    <w:tmpl w:val="50E8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1E24A1"/>
    <w:multiLevelType w:val="hybridMultilevel"/>
    <w:tmpl w:val="D77A1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75789A"/>
    <w:multiLevelType w:val="hybridMultilevel"/>
    <w:tmpl w:val="E1EE2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556F36"/>
    <w:multiLevelType w:val="hybridMultilevel"/>
    <w:tmpl w:val="96CED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BB1618"/>
    <w:multiLevelType w:val="hybridMultilevel"/>
    <w:tmpl w:val="7D7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C14544"/>
    <w:multiLevelType w:val="hybridMultilevel"/>
    <w:tmpl w:val="16F8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2D1E54"/>
    <w:multiLevelType w:val="hybridMultilevel"/>
    <w:tmpl w:val="1AD6DE36"/>
    <w:lvl w:ilvl="0" w:tplc="8062ADD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28"/>
  </w:num>
  <w:num w:numId="5">
    <w:abstractNumId w:val="25"/>
  </w:num>
  <w:num w:numId="6">
    <w:abstractNumId w:val="16"/>
  </w:num>
  <w:num w:numId="7">
    <w:abstractNumId w:val="22"/>
  </w:num>
  <w:num w:numId="8">
    <w:abstractNumId w:val="19"/>
  </w:num>
  <w:num w:numId="9">
    <w:abstractNumId w:val="7"/>
  </w:num>
  <w:num w:numId="10">
    <w:abstractNumId w:val="20"/>
  </w:num>
  <w:num w:numId="11">
    <w:abstractNumId w:val="24"/>
  </w:num>
  <w:num w:numId="12">
    <w:abstractNumId w:val="10"/>
  </w:num>
  <w:num w:numId="13">
    <w:abstractNumId w:val="27"/>
  </w:num>
  <w:num w:numId="14">
    <w:abstractNumId w:val="0"/>
  </w:num>
  <w:num w:numId="15">
    <w:abstractNumId w:val="26"/>
  </w:num>
  <w:num w:numId="16">
    <w:abstractNumId w:val="29"/>
  </w:num>
  <w:num w:numId="17">
    <w:abstractNumId w:val="8"/>
  </w:num>
  <w:num w:numId="18">
    <w:abstractNumId w:val="11"/>
  </w:num>
  <w:num w:numId="19">
    <w:abstractNumId w:val="4"/>
  </w:num>
  <w:num w:numId="20">
    <w:abstractNumId w:val="3"/>
  </w:num>
  <w:num w:numId="21">
    <w:abstractNumId w:val="5"/>
  </w:num>
  <w:num w:numId="22">
    <w:abstractNumId w:val="9"/>
  </w:num>
  <w:num w:numId="23">
    <w:abstractNumId w:val="18"/>
  </w:num>
  <w:num w:numId="24">
    <w:abstractNumId w:val="6"/>
  </w:num>
  <w:num w:numId="25">
    <w:abstractNumId w:val="13"/>
  </w:num>
  <w:num w:numId="26">
    <w:abstractNumId w:val="2"/>
  </w:num>
  <w:num w:numId="27">
    <w:abstractNumId w:val="23"/>
  </w:num>
  <w:num w:numId="28">
    <w:abstractNumId w:val="21"/>
  </w:num>
  <w:num w:numId="29">
    <w:abstractNumId w:val="15"/>
  </w:num>
  <w:num w:numId="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30BF5"/>
    <w:rsid w:val="00032707"/>
    <w:rsid w:val="00040034"/>
    <w:rsid w:val="0004196A"/>
    <w:rsid w:val="000451B2"/>
    <w:rsid w:val="00053D20"/>
    <w:rsid w:val="00062184"/>
    <w:rsid w:val="00066024"/>
    <w:rsid w:val="00067E3E"/>
    <w:rsid w:val="00080FD3"/>
    <w:rsid w:val="00083DC3"/>
    <w:rsid w:val="0008593B"/>
    <w:rsid w:val="00093790"/>
    <w:rsid w:val="000A210D"/>
    <w:rsid w:val="000A229E"/>
    <w:rsid w:val="000A47E6"/>
    <w:rsid w:val="000A6836"/>
    <w:rsid w:val="000B0E12"/>
    <w:rsid w:val="000C224E"/>
    <w:rsid w:val="000E666A"/>
    <w:rsid w:val="000E7DC3"/>
    <w:rsid w:val="00104284"/>
    <w:rsid w:val="00110FE3"/>
    <w:rsid w:val="00115063"/>
    <w:rsid w:val="0011581A"/>
    <w:rsid w:val="00116248"/>
    <w:rsid w:val="00120E95"/>
    <w:rsid w:val="00122608"/>
    <w:rsid w:val="001269B1"/>
    <w:rsid w:val="00133E22"/>
    <w:rsid w:val="001373EA"/>
    <w:rsid w:val="00146B30"/>
    <w:rsid w:val="00146FDC"/>
    <w:rsid w:val="001470A2"/>
    <w:rsid w:val="00147D02"/>
    <w:rsid w:val="001505DD"/>
    <w:rsid w:val="00151C00"/>
    <w:rsid w:val="0015685B"/>
    <w:rsid w:val="001577EB"/>
    <w:rsid w:val="00162B33"/>
    <w:rsid w:val="00165896"/>
    <w:rsid w:val="001661D2"/>
    <w:rsid w:val="0016743D"/>
    <w:rsid w:val="0017579E"/>
    <w:rsid w:val="00176A95"/>
    <w:rsid w:val="0018458D"/>
    <w:rsid w:val="001A0336"/>
    <w:rsid w:val="001A163A"/>
    <w:rsid w:val="001B0DDA"/>
    <w:rsid w:val="001B4464"/>
    <w:rsid w:val="001B67A5"/>
    <w:rsid w:val="001B7801"/>
    <w:rsid w:val="001C2F13"/>
    <w:rsid w:val="001D47B7"/>
    <w:rsid w:val="001E2FC9"/>
    <w:rsid w:val="001F2B04"/>
    <w:rsid w:val="0020339C"/>
    <w:rsid w:val="002165E6"/>
    <w:rsid w:val="00220DFC"/>
    <w:rsid w:val="00222E13"/>
    <w:rsid w:val="00235C73"/>
    <w:rsid w:val="00237F5C"/>
    <w:rsid w:val="002451DF"/>
    <w:rsid w:val="00245F56"/>
    <w:rsid w:val="00253365"/>
    <w:rsid w:val="002540B1"/>
    <w:rsid w:val="00263E57"/>
    <w:rsid w:val="002712B1"/>
    <w:rsid w:val="00290B8E"/>
    <w:rsid w:val="002A3B50"/>
    <w:rsid w:val="002A7CD7"/>
    <w:rsid w:val="002B2508"/>
    <w:rsid w:val="002B547C"/>
    <w:rsid w:val="002D493B"/>
    <w:rsid w:val="002D669D"/>
    <w:rsid w:val="002E07D4"/>
    <w:rsid w:val="002E122C"/>
    <w:rsid w:val="002E15F9"/>
    <w:rsid w:val="002E2DAB"/>
    <w:rsid w:val="002F63E5"/>
    <w:rsid w:val="00303D71"/>
    <w:rsid w:val="0031253B"/>
    <w:rsid w:val="003143BC"/>
    <w:rsid w:val="0033081A"/>
    <w:rsid w:val="00333E4E"/>
    <w:rsid w:val="003424DF"/>
    <w:rsid w:val="00342801"/>
    <w:rsid w:val="00347912"/>
    <w:rsid w:val="00350C2D"/>
    <w:rsid w:val="00351952"/>
    <w:rsid w:val="0035475F"/>
    <w:rsid w:val="003563A7"/>
    <w:rsid w:val="003569AD"/>
    <w:rsid w:val="0036001C"/>
    <w:rsid w:val="0036490E"/>
    <w:rsid w:val="0037008B"/>
    <w:rsid w:val="00372BD0"/>
    <w:rsid w:val="00372DA0"/>
    <w:rsid w:val="003746BC"/>
    <w:rsid w:val="00376FE6"/>
    <w:rsid w:val="00390633"/>
    <w:rsid w:val="00393B97"/>
    <w:rsid w:val="00394222"/>
    <w:rsid w:val="00397764"/>
    <w:rsid w:val="003A389C"/>
    <w:rsid w:val="003B2CF2"/>
    <w:rsid w:val="003B340F"/>
    <w:rsid w:val="003C63E1"/>
    <w:rsid w:val="003C7ACA"/>
    <w:rsid w:val="003D3043"/>
    <w:rsid w:val="003E03CC"/>
    <w:rsid w:val="003E6C49"/>
    <w:rsid w:val="00400B4D"/>
    <w:rsid w:val="0040583C"/>
    <w:rsid w:val="004066A3"/>
    <w:rsid w:val="00407E4E"/>
    <w:rsid w:val="004143B4"/>
    <w:rsid w:val="00414CFB"/>
    <w:rsid w:val="00422DE3"/>
    <w:rsid w:val="00423295"/>
    <w:rsid w:val="0042734C"/>
    <w:rsid w:val="004333FB"/>
    <w:rsid w:val="00436030"/>
    <w:rsid w:val="00446A24"/>
    <w:rsid w:val="00453CF8"/>
    <w:rsid w:val="00456727"/>
    <w:rsid w:val="00461079"/>
    <w:rsid w:val="00465587"/>
    <w:rsid w:val="00466D84"/>
    <w:rsid w:val="00480D4F"/>
    <w:rsid w:val="0049008B"/>
    <w:rsid w:val="00494AAC"/>
    <w:rsid w:val="004A20F3"/>
    <w:rsid w:val="004A7876"/>
    <w:rsid w:val="004B638C"/>
    <w:rsid w:val="004B6FA0"/>
    <w:rsid w:val="004C577D"/>
    <w:rsid w:val="004D283B"/>
    <w:rsid w:val="004D737D"/>
    <w:rsid w:val="004E087E"/>
    <w:rsid w:val="004F3B53"/>
    <w:rsid w:val="00502BF9"/>
    <w:rsid w:val="00503093"/>
    <w:rsid w:val="00504CD2"/>
    <w:rsid w:val="005057DC"/>
    <w:rsid w:val="005126D2"/>
    <w:rsid w:val="00514C74"/>
    <w:rsid w:val="005220B0"/>
    <w:rsid w:val="00543050"/>
    <w:rsid w:val="00547F84"/>
    <w:rsid w:val="005501BD"/>
    <w:rsid w:val="00562B74"/>
    <w:rsid w:val="0056494C"/>
    <w:rsid w:val="0056571B"/>
    <w:rsid w:val="00577C9B"/>
    <w:rsid w:val="00585E8C"/>
    <w:rsid w:val="0059042F"/>
    <w:rsid w:val="005919D0"/>
    <w:rsid w:val="00594963"/>
    <w:rsid w:val="00595671"/>
    <w:rsid w:val="005974D1"/>
    <w:rsid w:val="005A0EA5"/>
    <w:rsid w:val="005B3332"/>
    <w:rsid w:val="005C123D"/>
    <w:rsid w:val="005D25E8"/>
    <w:rsid w:val="005E2ABC"/>
    <w:rsid w:val="005E47BD"/>
    <w:rsid w:val="005F5D78"/>
    <w:rsid w:val="00607915"/>
    <w:rsid w:val="006120E1"/>
    <w:rsid w:val="00614A49"/>
    <w:rsid w:val="006156BE"/>
    <w:rsid w:val="00623607"/>
    <w:rsid w:val="006261EE"/>
    <w:rsid w:val="006308D5"/>
    <w:rsid w:val="006313E5"/>
    <w:rsid w:val="0063143B"/>
    <w:rsid w:val="00642663"/>
    <w:rsid w:val="00647C5F"/>
    <w:rsid w:val="00654380"/>
    <w:rsid w:val="00656288"/>
    <w:rsid w:val="006677B0"/>
    <w:rsid w:val="00670C21"/>
    <w:rsid w:val="00670E26"/>
    <w:rsid w:val="0067549F"/>
    <w:rsid w:val="006763D1"/>
    <w:rsid w:val="00676DE5"/>
    <w:rsid w:val="00691BC3"/>
    <w:rsid w:val="00693A10"/>
    <w:rsid w:val="00694160"/>
    <w:rsid w:val="00696D77"/>
    <w:rsid w:val="006B0337"/>
    <w:rsid w:val="006B260E"/>
    <w:rsid w:val="006B3939"/>
    <w:rsid w:val="006B49E4"/>
    <w:rsid w:val="006C014C"/>
    <w:rsid w:val="006C0984"/>
    <w:rsid w:val="006C10F0"/>
    <w:rsid w:val="006C3901"/>
    <w:rsid w:val="006D7049"/>
    <w:rsid w:val="006E66FC"/>
    <w:rsid w:val="006F1198"/>
    <w:rsid w:val="006F4DA0"/>
    <w:rsid w:val="006F5EC4"/>
    <w:rsid w:val="00702333"/>
    <w:rsid w:val="00702C63"/>
    <w:rsid w:val="00704A8D"/>
    <w:rsid w:val="00705161"/>
    <w:rsid w:val="00707E86"/>
    <w:rsid w:val="00711277"/>
    <w:rsid w:val="0071671D"/>
    <w:rsid w:val="007235FA"/>
    <w:rsid w:val="007321BB"/>
    <w:rsid w:val="00733327"/>
    <w:rsid w:val="00743E50"/>
    <w:rsid w:val="007509E5"/>
    <w:rsid w:val="0075349F"/>
    <w:rsid w:val="0075371E"/>
    <w:rsid w:val="0075737E"/>
    <w:rsid w:val="00766689"/>
    <w:rsid w:val="00780F08"/>
    <w:rsid w:val="0078233F"/>
    <w:rsid w:val="0078726E"/>
    <w:rsid w:val="0079089B"/>
    <w:rsid w:val="00791F1F"/>
    <w:rsid w:val="007A45FD"/>
    <w:rsid w:val="007B0CFD"/>
    <w:rsid w:val="007B0D42"/>
    <w:rsid w:val="007B2DAD"/>
    <w:rsid w:val="007C27E0"/>
    <w:rsid w:val="007C6471"/>
    <w:rsid w:val="007C6FBC"/>
    <w:rsid w:val="007D1185"/>
    <w:rsid w:val="007D2576"/>
    <w:rsid w:val="007D49DE"/>
    <w:rsid w:val="007D4F45"/>
    <w:rsid w:val="007D5E35"/>
    <w:rsid w:val="007E1F8A"/>
    <w:rsid w:val="007E6317"/>
    <w:rsid w:val="007F7BA8"/>
    <w:rsid w:val="0080135E"/>
    <w:rsid w:val="00804196"/>
    <w:rsid w:val="0080606E"/>
    <w:rsid w:val="00807A22"/>
    <w:rsid w:val="0081063C"/>
    <w:rsid w:val="0082082A"/>
    <w:rsid w:val="008275D7"/>
    <w:rsid w:val="0083636B"/>
    <w:rsid w:val="00845FE2"/>
    <w:rsid w:val="008501F4"/>
    <w:rsid w:val="0085248F"/>
    <w:rsid w:val="00853C09"/>
    <w:rsid w:val="0085403A"/>
    <w:rsid w:val="008616D9"/>
    <w:rsid w:val="00862CE4"/>
    <w:rsid w:val="00865164"/>
    <w:rsid w:val="00873DDE"/>
    <w:rsid w:val="008751C8"/>
    <w:rsid w:val="0089043A"/>
    <w:rsid w:val="00896D91"/>
    <w:rsid w:val="008A3A19"/>
    <w:rsid w:val="008A7431"/>
    <w:rsid w:val="008B47E0"/>
    <w:rsid w:val="008C01EA"/>
    <w:rsid w:val="008C7B00"/>
    <w:rsid w:val="008E440E"/>
    <w:rsid w:val="008F5301"/>
    <w:rsid w:val="00900860"/>
    <w:rsid w:val="00917CA0"/>
    <w:rsid w:val="00924835"/>
    <w:rsid w:val="0092659A"/>
    <w:rsid w:val="009273B4"/>
    <w:rsid w:val="0093367B"/>
    <w:rsid w:val="009353F7"/>
    <w:rsid w:val="00935B97"/>
    <w:rsid w:val="0094218F"/>
    <w:rsid w:val="00942EA9"/>
    <w:rsid w:val="0094718C"/>
    <w:rsid w:val="00947FA7"/>
    <w:rsid w:val="009508D1"/>
    <w:rsid w:val="009558D8"/>
    <w:rsid w:val="00957712"/>
    <w:rsid w:val="00957A62"/>
    <w:rsid w:val="00964BE9"/>
    <w:rsid w:val="00973CD3"/>
    <w:rsid w:val="00980F79"/>
    <w:rsid w:val="00983CEB"/>
    <w:rsid w:val="009843DD"/>
    <w:rsid w:val="00986D0B"/>
    <w:rsid w:val="00990634"/>
    <w:rsid w:val="009917DD"/>
    <w:rsid w:val="00995788"/>
    <w:rsid w:val="009B3820"/>
    <w:rsid w:val="009B6CB3"/>
    <w:rsid w:val="009B78A2"/>
    <w:rsid w:val="009C2923"/>
    <w:rsid w:val="009D078D"/>
    <w:rsid w:val="009D31AD"/>
    <w:rsid w:val="009E707C"/>
    <w:rsid w:val="009F0769"/>
    <w:rsid w:val="009F4A17"/>
    <w:rsid w:val="00A06695"/>
    <w:rsid w:val="00A1299E"/>
    <w:rsid w:val="00A248E2"/>
    <w:rsid w:val="00A3418B"/>
    <w:rsid w:val="00A343D5"/>
    <w:rsid w:val="00A41B68"/>
    <w:rsid w:val="00A423C4"/>
    <w:rsid w:val="00A44394"/>
    <w:rsid w:val="00A47315"/>
    <w:rsid w:val="00A47C12"/>
    <w:rsid w:val="00A51812"/>
    <w:rsid w:val="00A55D22"/>
    <w:rsid w:val="00A56B34"/>
    <w:rsid w:val="00A618FC"/>
    <w:rsid w:val="00A7053F"/>
    <w:rsid w:val="00A708AC"/>
    <w:rsid w:val="00A71EC6"/>
    <w:rsid w:val="00A73CA7"/>
    <w:rsid w:val="00A82A69"/>
    <w:rsid w:val="00A8435E"/>
    <w:rsid w:val="00A8462E"/>
    <w:rsid w:val="00A91FDE"/>
    <w:rsid w:val="00AC112C"/>
    <w:rsid w:val="00AD0E6A"/>
    <w:rsid w:val="00AE510C"/>
    <w:rsid w:val="00AF3B1B"/>
    <w:rsid w:val="00B0378B"/>
    <w:rsid w:val="00B11113"/>
    <w:rsid w:val="00B179C9"/>
    <w:rsid w:val="00B17F13"/>
    <w:rsid w:val="00B27F6B"/>
    <w:rsid w:val="00B30158"/>
    <w:rsid w:val="00B51994"/>
    <w:rsid w:val="00B51BC3"/>
    <w:rsid w:val="00B62ECD"/>
    <w:rsid w:val="00B70499"/>
    <w:rsid w:val="00B72F77"/>
    <w:rsid w:val="00B8481C"/>
    <w:rsid w:val="00B90C3B"/>
    <w:rsid w:val="00B931ED"/>
    <w:rsid w:val="00BA05C5"/>
    <w:rsid w:val="00BA3599"/>
    <w:rsid w:val="00BA49DB"/>
    <w:rsid w:val="00BA61D3"/>
    <w:rsid w:val="00BA7C6B"/>
    <w:rsid w:val="00BB49F6"/>
    <w:rsid w:val="00BC622F"/>
    <w:rsid w:val="00BC6451"/>
    <w:rsid w:val="00BC6BB7"/>
    <w:rsid w:val="00BD1D25"/>
    <w:rsid w:val="00BD28B9"/>
    <w:rsid w:val="00BD29EC"/>
    <w:rsid w:val="00BD2BB0"/>
    <w:rsid w:val="00BD4C64"/>
    <w:rsid w:val="00BE4D76"/>
    <w:rsid w:val="00BE618D"/>
    <w:rsid w:val="00BE70C8"/>
    <w:rsid w:val="00BF42F4"/>
    <w:rsid w:val="00C000B0"/>
    <w:rsid w:val="00C00737"/>
    <w:rsid w:val="00C013D8"/>
    <w:rsid w:val="00C1236A"/>
    <w:rsid w:val="00C22DF6"/>
    <w:rsid w:val="00C25229"/>
    <w:rsid w:val="00C34D1D"/>
    <w:rsid w:val="00C536F5"/>
    <w:rsid w:val="00C605C7"/>
    <w:rsid w:val="00C638CE"/>
    <w:rsid w:val="00C645C4"/>
    <w:rsid w:val="00C66AB0"/>
    <w:rsid w:val="00C74767"/>
    <w:rsid w:val="00C772FD"/>
    <w:rsid w:val="00C83435"/>
    <w:rsid w:val="00C8596F"/>
    <w:rsid w:val="00C909FE"/>
    <w:rsid w:val="00C95868"/>
    <w:rsid w:val="00C9679B"/>
    <w:rsid w:val="00C96C28"/>
    <w:rsid w:val="00CA1CB1"/>
    <w:rsid w:val="00CB26D5"/>
    <w:rsid w:val="00CC1B0F"/>
    <w:rsid w:val="00CC57A0"/>
    <w:rsid w:val="00CD0810"/>
    <w:rsid w:val="00CD238E"/>
    <w:rsid w:val="00CE0762"/>
    <w:rsid w:val="00CF1BCB"/>
    <w:rsid w:val="00CF2434"/>
    <w:rsid w:val="00CF7625"/>
    <w:rsid w:val="00D006C1"/>
    <w:rsid w:val="00D00F28"/>
    <w:rsid w:val="00D05466"/>
    <w:rsid w:val="00D1082C"/>
    <w:rsid w:val="00D15CDC"/>
    <w:rsid w:val="00D27196"/>
    <w:rsid w:val="00D273C6"/>
    <w:rsid w:val="00D31F63"/>
    <w:rsid w:val="00D32199"/>
    <w:rsid w:val="00D40E85"/>
    <w:rsid w:val="00D50626"/>
    <w:rsid w:val="00D50F75"/>
    <w:rsid w:val="00D51C14"/>
    <w:rsid w:val="00D54600"/>
    <w:rsid w:val="00D604B3"/>
    <w:rsid w:val="00D62DD3"/>
    <w:rsid w:val="00D636C1"/>
    <w:rsid w:val="00D644B9"/>
    <w:rsid w:val="00D64852"/>
    <w:rsid w:val="00D65C2C"/>
    <w:rsid w:val="00D65EF2"/>
    <w:rsid w:val="00D70C4F"/>
    <w:rsid w:val="00D71A86"/>
    <w:rsid w:val="00D80BC2"/>
    <w:rsid w:val="00D82193"/>
    <w:rsid w:val="00D91D5D"/>
    <w:rsid w:val="00DA3E26"/>
    <w:rsid w:val="00DB2469"/>
    <w:rsid w:val="00DB3A18"/>
    <w:rsid w:val="00DB5508"/>
    <w:rsid w:val="00DB5552"/>
    <w:rsid w:val="00DB7209"/>
    <w:rsid w:val="00DD2947"/>
    <w:rsid w:val="00DD2FEE"/>
    <w:rsid w:val="00DD4453"/>
    <w:rsid w:val="00DD45F3"/>
    <w:rsid w:val="00DD481F"/>
    <w:rsid w:val="00DE0C01"/>
    <w:rsid w:val="00DE2202"/>
    <w:rsid w:val="00DE5549"/>
    <w:rsid w:val="00E06527"/>
    <w:rsid w:val="00E1711B"/>
    <w:rsid w:val="00E206E6"/>
    <w:rsid w:val="00E21B43"/>
    <w:rsid w:val="00E22DA5"/>
    <w:rsid w:val="00E27922"/>
    <w:rsid w:val="00E33CA8"/>
    <w:rsid w:val="00E36AFE"/>
    <w:rsid w:val="00E36CE2"/>
    <w:rsid w:val="00E377B5"/>
    <w:rsid w:val="00E55C4C"/>
    <w:rsid w:val="00E7596B"/>
    <w:rsid w:val="00E834AD"/>
    <w:rsid w:val="00E83733"/>
    <w:rsid w:val="00E90BD4"/>
    <w:rsid w:val="00E97471"/>
    <w:rsid w:val="00EA59E3"/>
    <w:rsid w:val="00EA60C7"/>
    <w:rsid w:val="00EB1910"/>
    <w:rsid w:val="00EB389E"/>
    <w:rsid w:val="00EB4CBB"/>
    <w:rsid w:val="00EC3F04"/>
    <w:rsid w:val="00EC6F78"/>
    <w:rsid w:val="00ED427B"/>
    <w:rsid w:val="00EE3914"/>
    <w:rsid w:val="00EE3BB4"/>
    <w:rsid w:val="00EE3C6C"/>
    <w:rsid w:val="00EF24FF"/>
    <w:rsid w:val="00EF3886"/>
    <w:rsid w:val="00EF47D7"/>
    <w:rsid w:val="00F03521"/>
    <w:rsid w:val="00F17015"/>
    <w:rsid w:val="00F30F68"/>
    <w:rsid w:val="00F31D49"/>
    <w:rsid w:val="00F44343"/>
    <w:rsid w:val="00F46260"/>
    <w:rsid w:val="00F532A2"/>
    <w:rsid w:val="00F56853"/>
    <w:rsid w:val="00F6371F"/>
    <w:rsid w:val="00F66E7B"/>
    <w:rsid w:val="00F73DBC"/>
    <w:rsid w:val="00F84FF1"/>
    <w:rsid w:val="00F93959"/>
    <w:rsid w:val="00F940D0"/>
    <w:rsid w:val="00F947E9"/>
    <w:rsid w:val="00FC39AA"/>
    <w:rsid w:val="00FD23B9"/>
    <w:rsid w:val="00FE175E"/>
    <w:rsid w:val="00FE35CF"/>
    <w:rsid w:val="00FE53A5"/>
    <w:rsid w:val="00FE734E"/>
    <w:rsid w:val="00FE79B4"/>
    <w:rsid w:val="00FE7F68"/>
    <w:rsid w:val="00FF1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styleId="1-1">
    <w:name w:val="Medium Shading 1 Accent 1"/>
    <w:basedOn w:val="a2"/>
    <w:uiPriority w:val="63"/>
    <w:rsid w:val="00AF3B1B"/>
    <w:pPr>
      <w:spacing w:after="0" w:line="240" w:lineRule="auto"/>
    </w:pPr>
    <w:rPr>
      <w:rFonts w:eastAsiaTheme="minorEastAsia"/>
      <w:lang w:val="en-GB"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5">
    <w:name w:val="Сетка таблицы5"/>
    <w:basedOn w:val="a2"/>
    <w:next w:val="ab"/>
    <w:uiPriority w:val="59"/>
    <w:rsid w:val="004F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83636B"/>
  </w:style>
  <w:style w:type="character" w:customStyle="1" w:styleId="eop">
    <w:name w:val="eop"/>
    <w:basedOn w:val="a1"/>
    <w:rsid w:val="0083636B"/>
  </w:style>
  <w:style w:type="paragraph" w:styleId="afc">
    <w:name w:val="Bibliography"/>
    <w:basedOn w:val="a"/>
    <w:next w:val="a"/>
    <w:uiPriority w:val="37"/>
    <w:unhideWhenUsed/>
    <w:rsid w:val="0083636B"/>
    <w:pPr>
      <w:spacing w:after="200"/>
      <w:jc w:val="left"/>
    </w:pPr>
    <w:rPr>
      <w:rFonts w:asciiTheme="minorHAnsi" w:eastAsiaTheme="minorEastAsia" w:hAnsiTheme="minorHAnsi"/>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styleId="1-1">
    <w:name w:val="Medium Shading 1 Accent 1"/>
    <w:basedOn w:val="a2"/>
    <w:uiPriority w:val="63"/>
    <w:rsid w:val="00AF3B1B"/>
    <w:pPr>
      <w:spacing w:after="0" w:line="240" w:lineRule="auto"/>
    </w:pPr>
    <w:rPr>
      <w:rFonts w:eastAsiaTheme="minorEastAsia"/>
      <w:lang w:val="en-GB"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5">
    <w:name w:val="Сетка таблицы5"/>
    <w:basedOn w:val="a2"/>
    <w:next w:val="ab"/>
    <w:uiPriority w:val="59"/>
    <w:rsid w:val="004F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83636B"/>
  </w:style>
  <w:style w:type="character" w:customStyle="1" w:styleId="eop">
    <w:name w:val="eop"/>
    <w:basedOn w:val="a1"/>
    <w:rsid w:val="0083636B"/>
  </w:style>
  <w:style w:type="paragraph" w:styleId="afc">
    <w:name w:val="Bibliography"/>
    <w:basedOn w:val="a"/>
    <w:next w:val="a"/>
    <w:uiPriority w:val="37"/>
    <w:unhideWhenUsed/>
    <w:rsid w:val="0083636B"/>
    <w:pPr>
      <w:spacing w:after="200"/>
      <w:jc w:val="left"/>
    </w:pPr>
    <w:rPr>
      <w:rFonts w:asciiTheme="minorHAnsi" w:eastAsiaTheme="minorEastAsia" w:hAnsiTheme="minorHAnsi"/>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597494290">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ctad.org/en/pages/DIAE/DIA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ctadstat.uncta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vestmentpolicy.unctad.org/international-investment-agreem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nctad.org/statistics" TargetMode="External"/><Relationship Id="rId4" Type="http://schemas.microsoft.com/office/2007/relationships/stylesWithEffects" Target="stylesWithEffects.xml"/><Relationship Id="rId9" Type="http://schemas.openxmlformats.org/officeDocument/2006/relationships/hyperlink" Target="https://investmentpolicy.unctad.org/international-investment-agree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Kör11</b:Tag>
    <b:SourceType>JournalArticle</b:SourceType>
    <b:Guid>{2FBE688F-9A5F-4F08-AA0E-847160B4AB4C}</b:Guid>
    <b:Title>A definition of mountains and their bioclimatic belts for global comparisons of biodiversity data</b:Title>
    <b:Year>2011</b:Year>
    <b:JournalName>Alpine Botany</b:JournalName>
    <b:Pages>73-78</b:Pages>
    <b:Author>
      <b:Author>
        <b:NameList>
          <b:Person>
            <b:Last>Körner</b:Last>
            <b:First>C</b:First>
          </b:Person>
          <b:Person>
            <b:Last>Paulsen</b:Last>
            <b:First>J</b:First>
          </b:Person>
          <b:Person>
            <b:Last>Spehn</b:Last>
            <b:First>E</b:First>
          </b:Person>
        </b:NameList>
      </b:Author>
    </b:Author>
    <b:Volume>121</b:Volume>
    <b:RefOrder>1</b:RefOrder>
  </b:Source>
  <b:Source>
    <b:Tag>Kar17</b:Tag>
    <b:SourceType>JournalArticle</b:SourceType>
    <b:Guid>{7F94D59D-5175-4E7D-8F19-C328D6CF294C}</b:Guid>
    <b:Title>Modeling global Hammond landform regions from 250-m elevation data</b:Title>
    <b:JournalName>Transactions in GIS</b:JournalName>
    <b:Year>2017</b:Year>
    <b:Author>
      <b:Author>
        <b:NameList>
          <b:Person>
            <b:Last>Karagulle</b:Last>
            <b:First>D</b:First>
          </b:Person>
          <b:Person>
            <b:Last>Frye</b:Last>
            <b:First>C</b:First>
          </b:Person>
          <b:Person>
            <b:Last>Breyer</b:Last>
            <b:First>S</b:First>
          </b:Person>
          <b:Person>
            <b:Last>Aniello</b:Last>
            <b:First>P</b:First>
          </b:Person>
          <b:Person>
            <b:Last>Vaughan</b:Last>
            <b:First>R</b:First>
          </b:Person>
          <b:Person>
            <b:Last>Wright</b:Last>
            <b:First>D</b:First>
          </b:Person>
        </b:NameList>
      </b:Author>
    </b:Author>
    <b:DOI>10.1111/tgis.12265</b:DOI>
    <b:RefOrder>2</b:RefOrder>
  </b:Source>
  <b:Source>
    <b:Tag>Kap00</b:Tag>
    <b:SourceType>BookSection</b:SourceType>
    <b:Guid>{0E82D813-1613-4646-8646-F951054E0ADE}</b:Guid>
    <b:Title>Developing a map of the world’s mountain forests</b:Title>
    <b:BookTitle>Forests in Sustainable Mountain Development: A State-of-Knowledge Report for 2000</b:BookTitle>
    <b:Year>2000</b:Year>
    <b:Pages>4-9</b:Pages>
    <b:City>Wallingford</b:City>
    <b:Publisher>CAB International</b:Publisher>
    <b:Author>
      <b:Author>
        <b:NameList>
          <b:Person>
            <b:Last>Kapos</b:Last>
            <b:First>V</b:First>
          </b:Person>
          <b:Person>
            <b:Last>Rhind</b:Last>
            <b:First>J</b:First>
          </b:Person>
          <b:Person>
            <b:Last>Edwards</b:Last>
            <b:First>M</b:First>
          </b:Person>
          <b:Person>
            <b:Last>Prince</b:Last>
            <b:First>M</b:First>
          </b:Person>
          <b:Person>
            <b:Last>Ravillous</b:Last>
            <b:First>C</b:First>
          </b:Person>
        </b:NameList>
      </b:Author>
      <b:Editor>
        <b:NameList>
          <b:Person>
            <b:Last>Price </b:Last>
            <b:Middle>F</b:Middle>
            <b:First>M</b:First>
          </b:Person>
          <b:Person>
            <b:Last>Butt</b:Last>
            <b:First>N</b:First>
          </b:Person>
        </b:NameList>
      </b:Editor>
    </b:Author>
    <b:RefOrder>3</b:RefOrder>
  </b:Source>
  <b:Source>
    <b:Tag>San15</b:Tag>
    <b:SourceType>Report</b:SourceType>
    <b:Guid>{639A3C4F-6C15-4A31-9560-CC7D7EB0506C}</b:Guid>
    <b:Title>Land Cover CCI PRODUCT USER GUIDE VERSION 2.0</b:Title>
    <b:Year>2015</b:Year>
    <b:URL>http://maps.elie.ucl.ac.be/CCI/viewer/download/ESACCI-LC-Ph2-PUGv2_2.0.pdf</b:URL>
    <b:Publisher>European Spatial Agency</b:Publisher>
    <b:Author>
      <b:Author>
        <b:NameList>
          <b:Person>
            <b:Last>Santoro</b:Last>
            <b:First>M.</b:First>
          </b:Person>
          <b:Person>
            <b:Last>Kirches</b:Last>
            <b:First>G.</b:First>
          </b:Person>
          <b:Person>
            <b:Last>Wevers</b:Last>
            <b:First>J.</b:First>
          </b:Person>
          <b:Person>
            <b:Last>Boettcher</b:Last>
            <b:First>M.</b:First>
          </b:Person>
          <b:Person>
            <b:Last>Brockmann</b:Last>
            <b:First>C.</b:First>
          </b:Person>
          <b:Person>
            <b:Last>Lamarche</b:Last>
            <b:First>C.</b:First>
          </b:Person>
          <b:Person>
            <b:Last>Bontemps</b:Last>
            <b:First>S.</b:First>
          </b:Person>
          <b:Person>
            <b:Last>Moreau</b:Last>
            <b:First>I.</b:First>
          </b:Person>
          <b:Person>
            <b:Last>Defourny</b:Last>
            <b:First>P.</b:First>
          </b:Person>
        </b:NameList>
      </b:Author>
    </b:Author>
    <b:Institution>European Spatial Agency</b:Institution>
    <b:Pages>26-27</b:Pages>
    <b:ThesisType>USER GUIDE</b:ThesisType>
    <b:RefOrder>5</b:RefOrder>
  </b:Source>
  <b:Source>
    <b:Tag>Eur191</b:Tag>
    <b:SourceType>InternetSite</b:SourceType>
    <b:Guid>{13C10E66-0D3F-4FEC-BA42-2A47076ED030}</b:Guid>
    <b:Author>
      <b:Author>
        <b:Corporate>Eurostats</b:Corporate>
      </b:Author>
    </b:Author>
    <b:Title>LUCAS Grid</b:Title>
    <b:InternetSiteTitle>Eurostat Your Key to European statistcs</b:InternetSiteTitle>
    <b:Year>2019</b:Year>
    <b:URL>https://ec.europa.eu/eurostat/web/lucas/data/lucas-grid</b:URL>
    <b:RefOrder>4</b:RefOrder>
  </b:Source>
</b:Sources>
</file>

<file path=customXml/itemProps1.xml><?xml version="1.0" encoding="utf-8"?>
<ds:datastoreItem xmlns:ds="http://schemas.openxmlformats.org/officeDocument/2006/customXml" ds:itemID="{305B6E89-2CFE-4E10-93B0-75DC2AA3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27</cp:revision>
  <dcterms:created xsi:type="dcterms:W3CDTF">2021-08-24T12:43:00Z</dcterms:created>
  <dcterms:modified xsi:type="dcterms:W3CDTF">2023-10-25T14:35:00Z</dcterms:modified>
</cp:coreProperties>
</file>