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54" w:rsidRDefault="00C65754">
      <w:pPr>
        <w:widowControl w:val="0"/>
        <w:autoSpaceDE w:val="0"/>
        <w:autoSpaceDN w:val="0"/>
        <w:adjustRightInd w:val="0"/>
        <w:spacing w:after="0" w:line="240" w:lineRule="auto"/>
        <w:jc w:val="center"/>
        <w:outlineLvl w:val="0"/>
        <w:rPr>
          <w:rFonts w:ascii="Calibri" w:hAnsi="Calibri" w:cs="Calibri"/>
        </w:rPr>
      </w:pPr>
    </w:p>
    <w:p w:rsidR="00C65754" w:rsidRDefault="00C6575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b/>
          <w:bCs/>
        </w:rPr>
      </w:pPr>
    </w:p>
    <w:p w:rsidR="00C65754" w:rsidRDefault="00C657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C65754" w:rsidRDefault="00C657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декабря 2013 г. N 2492-р</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17"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 (в новой редакции).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Минэкономразвития России разместить утвержденную государственную </w:t>
      </w:r>
      <w:hyperlink w:anchor="Par17" w:history="1">
        <w:r>
          <w:rPr>
            <w:rFonts w:ascii="Calibri" w:hAnsi="Calibri" w:cs="Calibri"/>
            <w:color w:val="0000FF"/>
          </w:rPr>
          <w:t>программу</w:t>
        </w:r>
      </w:hyperlink>
      <w:r>
        <w:rPr>
          <w:rFonts w:ascii="Calibri" w:hAnsi="Calibri" w:cs="Calibri"/>
        </w:rPr>
        <w:t xml:space="preserve"> Российской Федерации "Экономическое развитие и инновационная экономика" (в новой редакции)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распоряжения.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0"/>
        <w:rPr>
          <w:rFonts w:ascii="Calibri" w:hAnsi="Calibri" w:cs="Calibri"/>
          <w:b/>
          <w:bCs/>
        </w:rPr>
      </w:pPr>
      <w:bookmarkStart w:id="1" w:name="Par17"/>
      <w:bookmarkEnd w:id="1"/>
      <w:r>
        <w:rPr>
          <w:rFonts w:ascii="Calibri" w:hAnsi="Calibri" w:cs="Calibri"/>
          <w:b/>
          <w:bCs/>
        </w:rPr>
        <w:t>ГОСУДАРСТВЕННАЯ ПРОГРАММА</w:t>
      </w:r>
    </w:p>
    <w:p w:rsidR="00C65754" w:rsidRDefault="00C657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2" w:name="Par21"/>
      <w:bookmarkEnd w:id="2"/>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4"/>
        <w:gridCol w:w="252"/>
        <w:gridCol w:w="6443"/>
      </w:tblGrid>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управлению государственным имуществом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таможенная служба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Центра разработки и коммерциализации новых технологий (Фонд "Сколково")</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730" w:history="1">
              <w:r>
                <w:rPr>
                  <w:rFonts w:ascii="Calibri" w:hAnsi="Calibri" w:cs="Calibri"/>
                  <w:color w:val="0000FF"/>
                </w:rPr>
                <w:t>Формирование</w:t>
              </w:r>
            </w:hyperlink>
            <w:r>
              <w:rPr>
                <w:rFonts w:ascii="Calibri" w:hAnsi="Calibri" w:cs="Calibri"/>
              </w:rPr>
              <w:t xml:space="preserve"> благоприятной инвестиционной среды";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1334" w:history="1">
              <w:r>
                <w:rPr>
                  <w:rFonts w:ascii="Calibri" w:hAnsi="Calibri" w:cs="Calibri"/>
                  <w:color w:val="0000FF"/>
                </w:rPr>
                <w:t>Развитие</w:t>
              </w:r>
            </w:hyperlink>
            <w:r>
              <w:rPr>
                <w:rFonts w:ascii="Calibri" w:hAnsi="Calibri" w:cs="Calibri"/>
              </w:rPr>
              <w:t xml:space="preserve">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hyperlink w:anchor="Par1656" w:history="1">
              <w:r>
                <w:rPr>
                  <w:rFonts w:ascii="Calibri" w:hAnsi="Calibri" w:cs="Calibri"/>
                  <w:color w:val="0000FF"/>
                </w:rPr>
                <w:t>Создание</w:t>
              </w:r>
            </w:hyperlink>
            <w:r>
              <w:rPr>
                <w:rFonts w:ascii="Calibri" w:hAnsi="Calibri" w:cs="Calibri"/>
              </w:rPr>
              <w:t xml:space="preserve"> благоприятных условий для развития рынка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1932" w:history="1">
              <w:r>
                <w:rPr>
                  <w:rFonts w:ascii="Calibri" w:hAnsi="Calibri" w:cs="Calibri"/>
                  <w:color w:val="0000FF"/>
                </w:rPr>
                <w:t>Совершенствование</w:t>
              </w:r>
            </w:hyperlink>
            <w:r>
              <w:rPr>
                <w:rFonts w:ascii="Calibri" w:hAnsi="Calibri" w:cs="Calibri"/>
              </w:rPr>
              <w:t xml:space="preserve"> государственного и муниципального 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2173" w:history="1">
              <w:r>
                <w:rPr>
                  <w:rFonts w:ascii="Calibri" w:hAnsi="Calibri" w:cs="Calibri"/>
                  <w:color w:val="0000FF"/>
                </w:rPr>
                <w:t>Стимулирование</w:t>
              </w:r>
            </w:hyperlink>
            <w:r>
              <w:rPr>
                <w:rFonts w:ascii="Calibri" w:hAnsi="Calibri" w:cs="Calibri"/>
              </w:rPr>
              <w:t xml:space="preserve"> инноваций";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2572" w:history="1">
              <w:r>
                <w:rPr>
                  <w:rFonts w:ascii="Calibri" w:hAnsi="Calibri" w:cs="Calibri"/>
                  <w:color w:val="0000FF"/>
                </w:rPr>
                <w:t>Повышение</w:t>
              </w:r>
            </w:hyperlink>
            <w:r>
              <w:rPr>
                <w:rFonts w:ascii="Calibri" w:hAnsi="Calibri" w:cs="Calibri"/>
              </w:rPr>
              <w:t xml:space="preserve"> эффективности функционирования естественных монополий и иных регулируемых организаций и развитие стимулирующего регулирования";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2888" w:history="1">
              <w:r>
                <w:rPr>
                  <w:rFonts w:ascii="Calibri" w:hAnsi="Calibri" w:cs="Calibri"/>
                  <w:color w:val="0000FF"/>
                </w:rPr>
                <w:t>Кадры</w:t>
              </w:r>
            </w:hyperlink>
            <w:r>
              <w:rPr>
                <w:rFonts w:ascii="Calibri" w:hAnsi="Calibri" w:cs="Calibri"/>
              </w:rPr>
              <w:t xml:space="preserve"> для инновационной экономики";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3196" w:history="1">
              <w:r>
                <w:rPr>
                  <w:rFonts w:ascii="Calibri" w:hAnsi="Calibri" w:cs="Calibri"/>
                  <w:color w:val="0000FF"/>
                </w:rPr>
                <w:t>Совершенствование</w:t>
              </w:r>
            </w:hyperlink>
            <w:r>
              <w:rPr>
                <w:rFonts w:ascii="Calibri" w:hAnsi="Calibri" w:cs="Calibri"/>
              </w:rPr>
              <w:t xml:space="preserve"> системы государственного стратегического 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3510" w:history="1">
              <w:r>
                <w:rPr>
                  <w:rFonts w:ascii="Calibri" w:hAnsi="Calibri" w:cs="Calibri"/>
                  <w:color w:val="0000FF"/>
                </w:rPr>
                <w:t>Формирование</w:t>
              </w:r>
            </w:hyperlink>
            <w:r>
              <w:rPr>
                <w:rFonts w:ascii="Calibri" w:hAnsi="Calibri" w:cs="Calibri"/>
              </w:rPr>
              <w:t xml:space="preserve">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hyperlink w:anchor="Par3792" w:history="1">
              <w:r>
                <w:rPr>
                  <w:rFonts w:ascii="Calibri" w:hAnsi="Calibri" w:cs="Calibri"/>
                  <w:color w:val="0000FF"/>
                </w:rPr>
                <w:t>Создание</w:t>
              </w:r>
            </w:hyperlink>
            <w:r>
              <w:rPr>
                <w:rFonts w:ascii="Calibri" w:hAnsi="Calibri" w:cs="Calibri"/>
              </w:rPr>
              <w:t xml:space="preserve"> и развитие инновационного центра "Сколково"</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Программно-целевые инструменты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w:anchor="Par4701" w:history="1">
              <w:r>
                <w:rPr>
                  <w:rFonts w:ascii="Calibri" w:hAnsi="Calibri" w:cs="Calibri"/>
                  <w:color w:val="0000FF"/>
                </w:rPr>
                <w:t>программа</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благоприятного предпринимательского климата и условий для ведения бизнеса;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бизнеса;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государственного управления</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привлечения инвестиций в экономику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предпринимательской активности и развитие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устранение избыточного регулирования и неоправданного вмешательства государства в деятельность хозяйствующих субъектов;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государственных и муниципальных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естественных монополий и совершенствование системы государственного регулирования тарифов;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экономики знаний и высоких технологий;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и муниципального 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сбора, обработки и предоставления статистической информации</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 место;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доступности к официальной статистической информации, </w:t>
            </w:r>
            <w:r>
              <w:rPr>
                <w:rFonts w:ascii="Calibri" w:hAnsi="Calibri" w:cs="Calibri"/>
              </w:rPr>
              <w:lastRenderedPageBreak/>
              <w:t>процентов</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Программа реализуется с 2013 по 2020 годы</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Программы в 2013 - 2020 годах (за счет средств федерального бюджета) составит 958 391 115,20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- 124 826 018,30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- 129 856 089,30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- 119 278 028,80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- 117 254 890,02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- 118 216 870,32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- 117 398 376,34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- 115 777 964,38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- 115 782 877,74 тыс. рублей</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26,3 процентов в 2012 году до 29,3 процентов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позиции России в рейтинге Всемирного банка "Ведение бизнеса" (Doing Business) с 120 места в 2012 году до 20 места к 2018 году (с сохранением данной позиции до конца реализации 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удовлетворенности граждан Российской Федерации качеством предоставления государственных и муниципальных услуг с 70 процентов в 2012 году до 90 процентов в 2018 году (с сохранением данной позиции до конца реализации 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с 9,2 процентов в 2012 году до 25 процентов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сохранение доступности к официальной статистической информации на уровне 100 процентов</w:t>
            </w:r>
          </w:p>
        </w:tc>
      </w:tr>
      <w:tr w:rsidR="00C65754">
        <w:tblPrEx>
          <w:tblCellMar>
            <w:top w:w="0" w:type="dxa"/>
            <w:bottom w:w="0" w:type="dxa"/>
          </w:tblCellMar>
        </w:tblPrEx>
        <w:trPr>
          <w:tblCellSpacing w:w="5" w:type="nil"/>
        </w:trPr>
        <w:tc>
          <w:tcPr>
            <w:tcW w:w="294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улучшение условий ведения бизнеса в России; снижение инвестиционных и предпринимательских рисков, снижение уровня коррупции;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средних сроков коммерциализации проектов участников проекта "Сколково" к 2020 году на 20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w:t>
            </w:r>
            <w:r>
              <w:rPr>
                <w:rFonts w:ascii="Calibri" w:hAnsi="Calibri" w:cs="Calibri"/>
              </w:rPr>
              <w:lastRenderedPageBreak/>
              <w:t>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решение проблемы обеспечения экономики высокопрофессиональными управленческими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кадрами;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действующей системы стратегических документов и создание практических механизмов по их реализации</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357D9C">
          <w:pgSz w:w="11906" w:h="16838"/>
          <w:pgMar w:top="1134" w:right="850" w:bottom="1134" w:left="1701" w:header="708" w:footer="708" w:gutter="0"/>
          <w:cols w:space="708"/>
          <w:docGrid w:linePitch="360"/>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3" w:name="Par121"/>
      <w:bookmarkEnd w:id="3"/>
      <w:r>
        <w:rPr>
          <w:rFonts w:ascii="Calibri" w:hAnsi="Calibri" w:cs="Calibri"/>
        </w:rPr>
        <w:t>I. Общая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экономика в 2010 - 2012 годах прошла стадию посткризисного восстановления и вступила в новый этап своего развития. Уже в 2011 году ВВП России вернулся на предкризисный уровень и составил 4,3 процента по сравнению с 2010 годом. В 2012 году экономическое развитие замедлилось - прирост ВВП составил 3,4 процента к предыдущему году. Замедление было связано с некоторым снижением как инвестиционного, так и потребительского спроса, на фоне усиления негативных тенденций в мировой экономике и ослабления внешнего спроса. При этом основным фактором экономического роста в 2012 году оставался внутренний спрос на товары и услуги, поддерживаемый ростом реальной заработной платы, объемов банковского кредитования и увеличением численности занятых.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производство в 2012 году по сравнению с 2011 годом увеличилось на 2,6 процента. На протяжении всего 2012 года опережающими темпами росли обрабатывающие производства (за год прирост составил 4,1 процента). Лидером роста стало производство транспортных средств и оборудования (прирост за год на 12,7 процента). Наиболее высокие темпы прироста по итогам 2012 года отмечены также в производстве резиновых и пластмассовых изделий (7,4 процента), прочих неметаллических минеральных продуктов (5,6 процента), пищевых продуктов, включая напитки, и табака (5,1 процента).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основной капитал в 2012 году увеличились на 6,7 процента по отношению к уровню 2011 года. Рост инвестиций в основной капитал был поддержан ростом кредитования реального сектора экономики. По данным Банка России, прирост кредитных средств, предоставленных нефинансовым организациям-резидентам в рублях и иностранной валюте, составил 12,7 процента, по состоянию на 1 января 2013 г., по сравнению с уровнем на соответствующую дату прошлого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по-прежнему остается одним из наиболее устойчивых к рискам экономического развития секторов отечественной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прирост оборота розничной торговли составил 5,9 процента по сравнению с 2011 годом. Динамичнее, чем в 2011 году, развивался рынок платных услуг населению. По итогам 2012 года, объем платных услуг населению увеличился на 3,5 процента.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реальные располагаемые денежные доходы населения демонстрировали достаточно устойчивую положительную динамику с постепенным наращиванием темпов роста - с 1,6 процента в I квартале до 5,3 процента в IV квартале 2012 г. относительно соответствующих периодов 2011 года. По данным Росстата, прирост реальных располагаемых денежных доходов в 2012 году составил 4,2 процента к уровню 2011 года, что на 3,8 процентных пункта превышает аналогичный показатель предыдущего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доходов населения по-прежнему является заработная плата. Темпы роста реальной заработной платы на протяжении всего 2012 года (кроме декабря 2012 г.) были выше, чем в 2011 году. Прирост реальной заработной платы за 2012 год относительно 2011 года составил 8,4 процента (в 2011 году - 2,8 процента).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тенденции сохранились на рынке труда. Уровень общей безработицы, по данным Росстата, в среднем за 2012 год (по итогам обследования населения по проблемам занятости населения) в 2012 году составил 5,5 процента экономически активного населения, при этом в декабре 2012 г. уровень безработицы составил 5,1 процента, что является рекордно низким показателем за период с 1999 года. Этому способствовали восстановление спроса на труд в результате улучшения экономической ситуации в стране, а также реализация Правительством Российской Федерации мер по поддержке рынка труда.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Потребительская инфляция в I полугодии 2012 г. снижалась (прирост потребительских цен за годовой период снизился с 6,1 процента в декабре 2011 г. до 3,6 процента в апреле - мае 2012 г.) вследствие высокого предложения и сохраняющейся низкой динамики цен на продовольственные товары, а также переноса повышения регулируемых тарифов на федеральном уровне и на местах (на услуги ЖКХ и городского пассажирского транспорта) с начала года на второе полугодие 2012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июня 2012 г. инфляция стала усиливаться, в том числе вследствие значительного роста цен на плодоовощную продукцию нового урожая.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июле и сентябре 2012 г. темпы инфляции были более высокими, чем в предыдущем году из-за повышения регулируемых тарифов и цен на услуги организаций инфраструктурного сектора (электроэнергии и газа и синхронизированных с этим - коммунальных и других административных тарифов).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за 2012 год прирост инфляции составил 6,6 процента, превысив аналогичный показатель 2011 года (6,1 процента) на 0,5 процентных пункта.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Посткризисным позитивным изменениям в экономике способствовали реализуемые Правительством Российской Федерации меры, направленные на стимулирования экономической активности и экономического роста, а также на улучшение предпринимательского климата, поддержку инновационного развития, повышение качества государственного и муниципального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 w:name="Par138"/>
      <w:bookmarkEnd w:id="4"/>
      <w:r>
        <w:rPr>
          <w:rFonts w:ascii="Calibri" w:hAnsi="Calibri" w:cs="Calibri"/>
        </w:rPr>
        <w:t>1. Предпринимательский климат</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начата разработка "дорожных карт" национальной предпринимательской инициативы - планов мероприятий по наиболее проблемным сферам государственного регулирования предпринимательской деятельности. К середине 2013 года утверждены и начата реализация 9 "дорожных карт", направленных на повышение качества регуляторной среды для бизнеса, оптимизацию процедур регистрации юридических лиц и индивидуальных предпринимателей, совершенствование таможенного администрирования, упрощение процедур в сфере строительства, повышение доступности энергетической инфраструктуры, поддержку экспорта, развитие конкуренции и регистрации прав собственности,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законодательства, регулирующего осуществление иностранных инвестиций в стратегические отрасли, принят Федеральный </w:t>
      </w:r>
      <w:hyperlink r:id="rId6" w:history="1">
        <w:r>
          <w:rPr>
            <w:rFonts w:ascii="Calibri" w:hAnsi="Calibri" w:cs="Calibri"/>
            <w:color w:val="0000FF"/>
          </w:rPr>
          <w:t>закон</w:t>
        </w:r>
      </w:hyperlink>
      <w:r>
        <w:rPr>
          <w:rFonts w:ascii="Calibri" w:hAnsi="Calibri" w:cs="Calibri"/>
        </w:rPr>
        <w:t xml:space="preserve">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Указанный Федеральный закон направлен на либерализацию действующего законодательства в сфере осуществления иностранных инвестиций, а также на снятие ряда существующих ограничений и уточнение норм процедурного характера.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 "Об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 при Минэкономразвития России образована и начала свою работу Межведомственная комиссия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Завершена работа по созданию российского закрытого паевого инвестиционного фонда "Российский фонд прямых инвестиций". С этой целью внесены изменения в </w:t>
      </w:r>
      <w:hyperlink r:id="rId8" w:history="1">
        <w:r>
          <w:rPr>
            <w:rFonts w:ascii="Calibri" w:hAnsi="Calibri" w:cs="Calibri"/>
            <w:color w:val="0000FF"/>
          </w:rPr>
          <w:t>приказ</w:t>
        </w:r>
      </w:hyperlink>
      <w:r>
        <w:rPr>
          <w:rFonts w:ascii="Calibri" w:hAnsi="Calibri" w:cs="Calibri"/>
        </w:rPr>
        <w:t xml:space="preserve"> ФСФР России от 28 декабря 2010 г. N 10-79/пз-н "Об утверждении Положения о составе и структуре активов акционерных инвестиционных фондов и активов паевых инвестиционных фондов". В соответствии со своими задачами закрытый паевой инвестиционный фонд "Российский фонд прямых инвестиций" будет являться соинвестором в проекты (преимущественно в России) совместно с зарубежными инвесторами в минимальной пропорции 1:1. Закрытый паевой инвестиционный фонд "Российский фонд прямых инвестиций" будет инвестировать средства в модернизационные и базовые отрасли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Минэкономразвития России инициировало внедрение в отечественную практику нормотворчества инструментов оценки регулирующего воздействия.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июня 2004 г. N 260 "О Регламенте </w:t>
      </w:r>
      <w:r>
        <w:rPr>
          <w:rFonts w:ascii="Calibri" w:hAnsi="Calibri" w:cs="Calibri"/>
        </w:rPr>
        <w:lastRenderedPageBreak/>
        <w:t>Правительства Российской Федерации и Положении об Аппарате Правительства Российской Федерации" в редакции постановления Правительства Российской Федерации от 15 мая 2010 г. N 336 "О внесении изменений в некоторые акты Правительства Российской Федерации" процедура оценки регулирующего воздействия вводится как обязательный элемент подготовки проектов нормативных правовых актов, регулирующих отношения в области государственного контроля и надзора, в области установления и применения обязательных требований к продукции и связанных с ними требований к процессам, в области оценки соответствия, в области безопасности процессов производства. В течение первых двух лет использования процедуры оценки регулирующего воздействия было проведено более 1000 оценок, причем около трети оценок содержали отрицательные заключения. С 1 октября 2012 г. начался переход к проведению оценки регулирующего воздействия федеральными органами исполнительной власти - разработчиками нормативных правовых актов в соответствии с передовой мировой практикой в данной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вопросам конкуренции и развития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 Начиная с 2010 года, в число приоритетных мероприятий поддержки малого и среднего предпринимательства впервые были включены такие меры, как поддержка начинающих и действующих малых инновационных компаний, компаний, осуществляющих разработку и внедрение инновационной продукции, поддержка экспортно ориентированных компаний, а также компаний, осуществляющих модернизацию производственных активов.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финансовой поддержки субъектов малого и среднего предпринимательства постоянно расширяется и в 2013 году насчитывает уже 28 направлений поддержки.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5" w:name="Par149"/>
      <w:bookmarkEnd w:id="5"/>
      <w:r>
        <w:rPr>
          <w:rFonts w:ascii="Calibri" w:hAnsi="Calibri" w:cs="Calibri"/>
        </w:rPr>
        <w:t>2. Инновационное развитие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факторов, обусловивших в последнее десятилетие радикальные структурные сдвиги в мировой экономике, стало повышение экономической роли инноваций. В первую очередь это связано с усилением воздействия науки и техники на все стороны жизни общества, фундаментальными технологическими сдвигами, ведущими к крупномасштабным социально-экономическим и институциональным переменам. Соответственно меняется и набор основных факторов экономического роста. Важнейшими из них становятся научные знания и интеллектуальный капитал, которые признаются главными источниками создания конкурентных преимуществ и устойчивого развития социально-экономических систем. В этой связи вопросы модернизации и инновационного переустройства экономики были признаны и остаются ключевыми, магистральными направлениями социально-экономических преобразований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внутренних затрат на исследования и разработки в последние 15 лет в целом опережал темпы роста ВВП, за исключением 2004 - 2005 годов, когда было значительно сокращено финансирование исследований и разработок. По итогам 2011 года, доля внутренних затрат на исследования и разработки в ВВП составила 1,12 процента и все еще оставалась ниже максимального значения, достигнутого в 2003 году (1,29 процента). В международном сопоставлении Россия находится на уровне Бразилии (1,19 процента в 2010 году) и Венгрии (1,16 процента в 2010 году), значительно уступая странам - инновационным лидерам (Германии и Японии - 2,82 процента и 3,26 процента в 2010 году соответственно), а также Китаю (1,7 процента ВВП).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21 июля 2011 г. N 254-ФЗ "О внесении изменений в Федеральный </w:t>
      </w:r>
      <w:r>
        <w:rPr>
          <w:rFonts w:ascii="Calibri" w:hAnsi="Calibri" w:cs="Calibri"/>
        </w:rPr>
        <w:lastRenderedPageBreak/>
        <w:t xml:space="preserve">закон "О науке и государственной научно-технической политике" законодательно определены отношения по предоставлению государственной поддержки инновационной деятельности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данном федеральном законе даны основные определения ("коммерциализация научных и (или) научно-технических результатов", "инновации", "инновационный проект", "инновационная инфраструктура", "инновационная деятельность"), а также указано, что цели и основные направления государственной поддержки инновационной деятельности определяются в рамках </w:t>
      </w:r>
      <w:hyperlink r:id="rId11"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2" w:history="1">
        <w:r>
          <w:rPr>
            <w:rFonts w:ascii="Calibri" w:hAnsi="Calibri" w:cs="Calibri"/>
            <w:color w:val="0000FF"/>
          </w:rPr>
          <w:t>Стратегия</w:t>
        </w:r>
      </w:hyperlink>
      <w:r>
        <w:rPr>
          <w:rFonts w:ascii="Calibri" w:hAnsi="Calibri" w:cs="Calibri"/>
        </w:rPr>
        <w:t xml:space="preserve"> является основополагающим документом в сфере инновационного развития. При этом долгосрочные цели социально-экономического развития Российской Федерации закреплены в </w:t>
      </w:r>
      <w:hyperlink r:id="rId1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В начале 2012 года приняты "Основы политики Российской Федерации в области развития науки и технологий на период до 2020 года и дальнейшую перспективу" (утверждены Президентом Российской Федерации 11 января 2012 г. N Пр-83), в которых стратегической целью государственной политики в области развития науки и технологий названо обеспечение к 2020 году мирового уровня исследований и разработок и глобальной конкурентоспособности Российской Федерации на направлениях, определенных национальными научно-технологическими приоритетами. В </w:t>
      </w:r>
      <w:hyperlink r:id="rId14"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Правительству Российской Федерации поставлена задача увеличения доли продукции высокотехнологичных и наукоемких отраслей экономики в ВВП к 2018 году в 1,3 раза относительно уровня 2011 года. К 2013 году реализованы следующие новации в области государственной поддержки и стимулирования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современная система институтов развития в сфере инноваций, включающая институты предпосевного и посевного финансирования, венчурные фонды с государственным участием, государственную корпорацию "Банк развития и внешнеэкономической деятельности (Внешэкономбанк)", ОАО "РОСНАНО";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осуществляются финансовая поддержка ведущих вузов и форсированное развитие их компетенций в целях формирования "ядра" глобально конкурентоспособных вузов (не менее 5 вузов), способных войти к 2018 году в первую сотню ведущих мировых университетов согласно общепризнанным международным рейтингам;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национальный исследовательский центр "Курчатовский институт" и готовится к формированию в России сеть национальных исследовательских центров по приоритетным направлениям развития науки, технологий и техники в Российской Федерации, формируются основы инфраструктуры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технопарки, бизнес-инкубаторы при вузах, центры трансфера технологий, центры коллективного пользования уникальным оборудованием;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на конкурсной основе процедура выявления и развития инновационных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положено начало созданию новой российской "территории инноваций" в подмосковном инновационном центре "Сколково", где создается беспрецедентный правовой режим, минимизирующий административные барьеры и налоговое бремя для компаний-резидентов, а также развивается Сколковский институт науки и технологий в целях проведения исследований, реализации образовательных программ и создания инноваций по приоритетным для России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программы инновационного развития крупнейших компаний 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ведется деятельность по развитию кооперации между бизнесом, наукой и образованием, в том числе с использованием механизма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проведена значительная работа по совершенствованию правового режима инновационной </w:t>
      </w:r>
      <w:r>
        <w:rPr>
          <w:rFonts w:ascii="Calibri" w:hAnsi="Calibri" w:cs="Calibri"/>
        </w:rPr>
        <w:lastRenderedPageBreak/>
        <w:t>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6" w:name="Par164"/>
      <w:bookmarkEnd w:id="6"/>
      <w:r>
        <w:rPr>
          <w:rFonts w:ascii="Calibri" w:hAnsi="Calibri" w:cs="Calibri"/>
        </w:rPr>
        <w:t>3. Качество государственных институтов</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Реализованные меры государственной политики в сфере повышения качества государственных институтов включают меры административной реформы по повышению эффективности исполнения государственных функций и повышению качества государственных услуг, а также меры по развитию стратегического планирования и программно-целевого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обеспечения качества предоставления государственных и муниципальных услуг закреплены в Федеральном </w:t>
      </w:r>
      <w:hyperlink r:id="rId15" w:history="1">
        <w:r>
          <w:rPr>
            <w:rFonts w:ascii="Calibri" w:hAnsi="Calibri" w:cs="Calibri"/>
            <w:color w:val="0000FF"/>
          </w:rPr>
          <w:t>законе</w:t>
        </w:r>
      </w:hyperlink>
      <w:r>
        <w:rPr>
          <w:rFonts w:ascii="Calibri" w:hAnsi="Calibri" w:cs="Calibri"/>
        </w:rPr>
        <w:t xml:space="preserve"> "Об организации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Важный вклад в улучшение предпринимательского климата и повышение качества государственного управления в целом вносит реализация мероприятий </w:t>
      </w:r>
      <w:hyperlink r:id="rId16"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 Федеральный </w:t>
      </w:r>
      <w:hyperlink r:id="rId17" w:history="1">
        <w:r>
          <w:rPr>
            <w:rFonts w:ascii="Calibri" w:hAnsi="Calibri" w:cs="Calibri"/>
            <w:color w:val="0000FF"/>
          </w:rPr>
          <w:t>закон</w:t>
        </w:r>
      </w:hyperlink>
      <w:r>
        <w:rPr>
          <w:rFonts w:ascii="Calibri" w:hAnsi="Calibri" w:cs="Calibri"/>
        </w:rPr>
        <w:t xml:space="preserve"> "О лицензировании отдельных видов деятельности", реализация которого позволит повысить прозрачность процедур лицензирования за счет установления исчерпывающих перечней документов, лицензионных требований и грубых нарушений, особенностей лицензионного контроля и снизить финансовые и временные издержки хозяйствующих субъектов за счет сокращения перечня лицензируемых видов деятельности, введения бессрочного действия лицензии, а также перехода к электронной форме взаимодействия соискателя (лицензиата) с лицензирующим органом.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18" w:history="1">
        <w:r>
          <w:rPr>
            <w:rFonts w:ascii="Calibri" w:hAnsi="Calibri" w:cs="Calibri"/>
            <w:color w:val="0000FF"/>
          </w:rPr>
          <w:t>Концепции</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 и </w:t>
      </w:r>
      <w:hyperlink r:id="rId19" w:history="1">
        <w:r>
          <w:rPr>
            <w:rFonts w:ascii="Calibri" w:hAnsi="Calibri" w:cs="Calibri"/>
            <w:color w:val="0000FF"/>
          </w:rPr>
          <w:t>Указа</w:t>
        </w:r>
      </w:hyperlink>
      <w:r>
        <w:rPr>
          <w:rFonts w:ascii="Calibri" w:hAnsi="Calibri" w:cs="Calibri"/>
        </w:rPr>
        <w:t xml:space="preserve"> Президента Российской Федерации от 24 января 2011 г. N 86 "О единой национальной системе аккредитации" ведется работа по формированию современной эффективно функционирующей системы аккредитации, направленная на гармонизацию правил и процедур аккредитации в области оценки соответствия в Российской Федерации с международными обязательствами, международными стандартами, рекомендациями международных организаций и национальными системами государств - членов Таможенного союза. Постановлением Правительства Российской Федерации от 17 октября 2011 г. N 845 "О Федеральной службе по аккредитации" утверждено </w:t>
      </w:r>
      <w:hyperlink r:id="rId20" w:history="1">
        <w:r>
          <w:rPr>
            <w:rFonts w:ascii="Calibri" w:hAnsi="Calibri" w:cs="Calibri"/>
            <w:color w:val="0000FF"/>
          </w:rPr>
          <w:t>Положение</w:t>
        </w:r>
      </w:hyperlink>
      <w:r>
        <w:rPr>
          <w:rFonts w:ascii="Calibri" w:hAnsi="Calibri" w:cs="Calibri"/>
        </w:rPr>
        <w:t xml:space="preserve"> о Росаккредитации.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позволит достичь следующих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правил аккредитации и снижение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рынка от опасной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ответственности аккредитованных лиц за результаты своей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по оценке соответствия;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доверия со стороны потребителей, органов исполнительной власти, изготовителей и продавцов;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взаимное признание выдаваемых органами по подтверждению соответствия документов в рамках Таможенного союза и Единого экономического пространства, а также в странах - основных торговых партнерах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конкурентного рынка работ по оценке соответствия;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издержек бизнеса при выпуске продукции в обращение.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завершившейся в 2012 году </w:t>
      </w:r>
      <w:hyperlink r:id="rId21" w:history="1">
        <w:r>
          <w:rPr>
            <w:rFonts w:ascii="Calibri" w:hAnsi="Calibri" w:cs="Calibri"/>
            <w:color w:val="0000FF"/>
          </w:rPr>
          <w:t>Программе</w:t>
        </w:r>
      </w:hyperlink>
      <w:r>
        <w:rPr>
          <w:rFonts w:ascii="Calibri" w:hAnsi="Calibri" w:cs="Calibri"/>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 N 1101-р, была обозначена задача перехода на программный бюджет с использованием инструмента государственных программ Российской Федерации. Минэкономразвития России совместно с Минфином России была разработана и утверждена Правительством Российской Федерации нормативно-правовая база по переходу к "программному" бюджету, </w:t>
      </w:r>
      <w:hyperlink r:id="rId22"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 xml:space="preserve">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23" w:history="1">
        <w:r>
          <w:rPr>
            <w:rFonts w:ascii="Calibri" w:hAnsi="Calibri" w:cs="Calibri"/>
            <w:color w:val="0000FF"/>
          </w:rPr>
          <w:t>Перечень</w:t>
        </w:r>
      </w:hyperlink>
      <w:r>
        <w:rPr>
          <w:rFonts w:ascii="Calibri" w:hAnsi="Calibri" w:cs="Calibri"/>
        </w:rPr>
        <w:t xml:space="preserve"> государственных программ Российской Федерации, утвержденный распоряжением Правительства Российской Федерации от 11 ноября 2010 г. N 1950-р, который включает 43 государственные программы Российской Федерации. Минэкономразвития России утверждены Методические </w:t>
      </w:r>
      <w:hyperlink r:id="rId24" w:history="1">
        <w:r>
          <w:rPr>
            <w:rFonts w:ascii="Calibri" w:hAnsi="Calibri" w:cs="Calibri"/>
            <w:color w:val="0000FF"/>
          </w:rPr>
          <w:t>указания</w:t>
        </w:r>
      </w:hyperlink>
      <w:r>
        <w:rPr>
          <w:rFonts w:ascii="Calibri" w:hAnsi="Calibri" w:cs="Calibri"/>
        </w:rPr>
        <w:t xml:space="preserve"> по разработке и реализации государственных программ Российской Федерации (приказ от 26 декабря 2012 г. N 817).</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40 государственных программ Российской Федерации, в стадии разработки находятся 3 государственных программы Российской Федерации ("Развитие пенсионной системы", "Обеспечение обороноспособности страны", "Социально-экономическое развитие Арктической зоны Российской Федерации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Внедряемые в настоящее время трехлетние планы реализации государственных программ Российской Федерации должны обеспечить связь программно-целевого планирования с бюджетным процессом. При этом мониторинг их реализации будет осуществляться посредством включения в план ключевых мероприятий, оказывающих наибольшее влияние на достижение целей государственной программы Российской Федерации, а также выделения основных этапов (вех) их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трехлетних планов предполагается осуществлять с помощью проектных методов организации деятельности федеральных органов исполнительной власти, позволяющих обеспечить координацию различных видов ресурсов при реализации мероприятий, а также постоянный контроль над установленными проектом сроками.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Развитию стратегического планирования социально-экономического развития и внедрению программно-целевых методов управления будет способствовать принятие внесенных в Государственную Думу проектов федеральных законов </w:t>
      </w:r>
      <w:hyperlink r:id="rId25" w:history="1">
        <w:r>
          <w:rPr>
            <w:rFonts w:ascii="Calibri" w:hAnsi="Calibri" w:cs="Calibri"/>
            <w:color w:val="0000FF"/>
          </w:rPr>
          <w:t>"О государственном стратегическом планировании"</w:t>
        </w:r>
      </w:hyperlink>
      <w:r>
        <w:rPr>
          <w:rFonts w:ascii="Calibri" w:hAnsi="Calibri" w:cs="Calibri"/>
        </w:rPr>
        <w:t xml:space="preserve"> и "</w:t>
      </w:r>
      <w:hyperlink r:id="rId26" w:history="1">
        <w:r>
          <w:rPr>
            <w:rFonts w:ascii="Calibri" w:hAnsi="Calibri" w:cs="Calibri"/>
            <w:color w:val="0000FF"/>
          </w:rPr>
          <w:t>О внесении изменений</w:t>
        </w:r>
      </w:hyperlink>
      <w:r>
        <w:rPr>
          <w:rFonts w:ascii="Calibri" w:hAnsi="Calibri" w:cs="Calibri"/>
        </w:rPr>
        <w:t xml:space="preserve"> в Бюджетный кодекс Российской Федерации в части совершенствования бюджетного процесса и в отдельные законодательные акты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7" w:name="Par186"/>
      <w:bookmarkEnd w:id="7"/>
      <w:r>
        <w:rPr>
          <w:rFonts w:ascii="Calibri" w:hAnsi="Calibri" w:cs="Calibri"/>
        </w:rPr>
        <w:t>4. Основные проблемы в сфере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отмеченные успехи в сфере реализации государственной экономической и инновационной политики, в настоящее время темпы модернизационных и инновационных преобразований в стране не достигают необходимого уровня. Об этом свидетельствуют: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удельный вес инновационно активных предприятий (9 - 10 процентов, при этом в Германии - около 80 процентов, Финляндии - свыше 50 процентов, Литве - свыше 30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невысокие показатели выпуска и экспорта инновационной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низкая доля частных затрат на исследования и разработки;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доля России в мировом наукоемком экспорте продукции гражданского назначения (0,5 процента, тогда как доля США - 36 процентов, Японии - 30 процентов, Германии - 16 процентов, Китая - 6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невысокий удельный вес инновационной продукции в общем объеме отгруженной промышленной продукции (6,1 процента против 15 процентов - минимального показателя для современной конкурентоспособной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незначительные величины затрат на модернизацию и технологические инновации в промышленности, явно несоизмеримые с реальными потребностями экономики в расширении спектра принципиально новой конкурентоспособной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причин подобной ситуации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 Поэтому не менее важным в процессе повышения инвестиционной активности в России является решение вопросов, связанных с развитием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отсутствует комплексная система показателей </w:t>
      </w:r>
      <w:r>
        <w:rPr>
          <w:rFonts w:ascii="Calibri" w:hAnsi="Calibri" w:cs="Calibri"/>
        </w:rPr>
        <w:lastRenderedPageBreak/>
        <w:t>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отвечает задачам модернизации и сложившаяся отраслевая структура российского малого и среднего бизнеса, которая качественно отстает от уровня развития малого и среднего бизнеса в европейских странах, где количественный показатель и вклад производственных компаний значительно выше и доминирует неторговый сектор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Созданные элементы инновационной системы и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удалось переломить ряд значимых для инновационного развития негативных тенденций. Необходимо ускорение процесса интеграции национальной инновационной системы в глобальную, повышение инновационной активности и эффективности работы компаний, в том числе государственных. Требуется большее взаимодействие науки и бизнеса в целях повышения уровня коммерциализации научных разработок до уровня развитых стран ОЭСР.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приоритезация задач по поддержке инновационной активности бизнеса, развитию человеческого капитала, поддержке инноваций в регионах не позволила обеспечить необходимую комплексность подхода и ликвидацию "узких мест" в инновационной системе страны. 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Нерешенными остаются и ряд других серьезных проблем, сохранение которых может свести к нулю результативность деятельности Правительства Российской Федерации и бизнеса в плане инновационного развития экономики страны. В первую очередь это: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риски ведения предпринимательской деятельности в России (так по месту в рейтинге Всемирного банка "Ведение бизнеса" (Doing Business) Российская Федерация занимает лишь 112 место);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коррупции и излишних административных барьеров, прежде всего для развития малого и среднего бизнеса, в том числе инновационного;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незаинтересованность кредитных организаций в финансировании рискового инновационного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фрагментарность национальной инновационной системы, отсутствие должных взаимосвязей между ее элементами, надлежащей интеграции образования, науки и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рынка интеллектуальной собственности, неурегулированность распределения прав на результаты интеллектуальной деятельности, полученные за счет бюджетных средств, недостаточный уровень защиты прав интеллектуальной собственности (по данному показателю в соответствии с Отчетом о мировой конкурентоспособности за 2012 год Всемирного экономического форума Россия занимает 125 место в мире);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доверия в сочетании с низким уровнем эффективности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механизмов государственно-частного партнерства, ограниченная эффективность государственных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для предприятий стимулов к повышению производительности труда.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факторы негативным образом отражаются на инвестиционной привлекательности нашей страны и степени ее национальной конкурентоспособности на </w:t>
      </w:r>
      <w:r>
        <w:rPr>
          <w:rFonts w:ascii="Calibri" w:hAnsi="Calibri" w:cs="Calibri"/>
        </w:rPr>
        <w:lastRenderedPageBreak/>
        <w:t>мировом уровне.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неуклонное и последовательное решение перечисленных проблем позволит осуществить радикальный прорыв в инновационном развитии России. Вместе с тем страна сумеет выйти на устойчивый инновационный путь развития лишь тогда, когда инновации станут основой функционирования всех компонентов системы рыночного хозяйствования: формирования структуры производства и его технической базы, совершенствования систем управления, развития человеческого фактора производства. Только в этом случае возможен переход от инноваций как "точечного" экономического феномена к преимущественно инновационному пути развития экономики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8" w:name="Par216"/>
      <w:bookmarkEnd w:id="8"/>
      <w:r>
        <w:rPr>
          <w:rFonts w:ascii="Calibri" w:hAnsi="Calibri" w:cs="Calibri"/>
        </w:rPr>
        <w:t>5. Прогноз развития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прогноза экономического развития Российской Федерации разработаны с учетом трех основных сценариев развития на среднесрочную перспективу: сценария форсированного роста, предусматривающего достижение целевого параметра роста производительности труда в 1,5 раза, умеренно-оптимистичного, характеризующегося устойчивыми темпами роста, и консервативного сценария, предполагающего сохранение низкой конкурентоспособности по отношению к импорту и сдержанное восстановление инвестиционной активности при сокращении реальных государственных расходов на развитие.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сценария форсированного роста характеризуется интенсификацией всех имеющихся факторов экономического роста для достижения целевого параметра роста производительности труда к 2018 году в 1,5 раза относительно уровня 2011 года в условиях относительно стабильных мировых цен. Сценарий требует существенного наращивания инвестиций и увеличение их объема не менее чем до 25 процентов ВВП к 2015 году. Это предполагает качественный прорыв в улучшении бизнес-климата и интенсивный приток иностранного капитала, а также активизацию использования национальных сбережений в сочетании с ростом государственных расходов, направленных на развитие инфраструктуры и новой экономики. Сценарий также предполагает более благоприятные демографические тренды. Среднегодовые темпы роста экономики в 2013 - 2018 годах увеличиваются до 6,2 процента, в 2016 - 2018 годах рост ВВП должен достигать почти 7 процентов в год. Сценарий характеризуется возросшей макроэкономической несбалансированностью.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умеренно-оптимистичного сценария отражает относительное повышение конкурентоспособности российской экономики (что проявляется в усилении тенденции к импортозамещению) и улучшение инвестиционного климата при умеренном увеличении государственных расходов на развитие инфраструктуры и ускоренном повышении заработной платы в бюджетном секторе в 2014 - 2015 годах. Рост ВВП в 2013 - 2015 годах прогнозируется на уровне 3,6 - 4,5 процента.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консервативного сценария предусматривает средние темпы роста ВВП на уровне 2,7 - 3,3 процента, что в среднем на 1,1 процентного пункта ниже, чем в основном (умеренно-оптимистичном) сценарии.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 полная реализация мероприятий настоящей государственной программы будет способствовать реализации сценария форсированного роста российской экономики.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9" w:name="Par225"/>
      <w:bookmarkEnd w:id="9"/>
      <w:r>
        <w:rPr>
          <w:rFonts w:ascii="Calibri" w:hAnsi="Calibri" w:cs="Calibri"/>
        </w:rPr>
        <w:t>II. Приоритеты государственной политики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 цели, задачи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сроков и этапов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0" w:name="Par232"/>
      <w:bookmarkEnd w:id="10"/>
      <w:r>
        <w:rPr>
          <w:rFonts w:ascii="Calibri" w:hAnsi="Calibri" w:cs="Calibri"/>
        </w:rPr>
        <w:t>1. Приоритеты государственной политики в сфере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реализации системного стратегического подхода к государственному управлению Правительством Российской Федерации была утверждена </w:t>
      </w:r>
      <w:hyperlink r:id="rId27"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пространственное развитие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устойчивого развития, отраженным в </w:t>
      </w:r>
      <w:hyperlink r:id="rId28"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 (утверждена Указом Президента Российской Федерации от 12 мая 2009 г. N 537), является экономический рост, который достигается, прежде всего, путем развития национальной инновационной системы и инвестиций в человеческий капитал.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Важным условием достижения данной цели является реализация </w:t>
      </w:r>
      <w:hyperlink r:id="rId30"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отечественная практика и весь мировой опыт, наибольший эффект в реализации приоритетных направлений экономического и социального развития может достигаться только при условии инновационности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 В этой связи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будет означать формирование системных основ для долгосрочной конкурентоспособности России, основанных на частной инициативе и капитализации сформированных научно-технологических заделов.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1" w:name="Par248"/>
      <w:bookmarkEnd w:id="11"/>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обозначенных выше основных проблем и приоритетов государственной политики, целями государственной политики в рамках реализации настоящей государственной 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1. 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2. 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3. Повышение эффективности государственного управления. Показателями достижения данной цели являются позиция России в рейтинге Всемирного банка "Ведение бизнеса" (Doing Business), уровень удовлетворенности граждан Российской Федерации качеством предоставления государственных и муниципальных услуг, уровень доступности к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потребует решения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привлечения инвестиций в экономику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благоприятной конкурентной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предпринимательской активности и развитие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устранение избыточного регулирования и неоправданного вмешательства государства в деятельность хозяйствующих субъектов;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доступности и качества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функционирования естественных монополий и иных регулируемых организаций и развитие стимулирующего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экономики знаний и высоких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совершенствование системы государственного стратегического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сбора, обработки и предоставления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государственной программы, подпрограмм государственной программы и их значениях представлены в </w:t>
      </w:r>
      <w:hyperlink w:anchor="Par4805" w:history="1">
        <w:r>
          <w:rPr>
            <w:rFonts w:ascii="Calibri" w:hAnsi="Calibri" w:cs="Calibri"/>
            <w:color w:val="0000FF"/>
          </w:rPr>
          <w:t>приложении N 1</w:t>
        </w:r>
      </w:hyperlink>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2" w:name="Par268"/>
      <w:bookmarkEnd w:id="12"/>
      <w:r>
        <w:rPr>
          <w:rFonts w:ascii="Calibri" w:hAnsi="Calibri" w:cs="Calibri"/>
        </w:rPr>
        <w:t>3. Описание основных ожидаемых конечных результатов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экономических преобразований и формирования инновационной экономики должны стать: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среднесписочной численности работников (без внешних совместителей), занятых на микро-, малых и средних предприятиях, у индивидуальных предпринимателей, в общей численности занятого населения с 26,3 процента в 2012 году до 29,3 процента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позиции России в рейтинге Всемирного банка "Ведение бизнеса" (Doing Business) с 120 места в 2012 году до 20 места к 2018 году (с сохранением данной позиции до конца реализации настоящей 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уровня удовлетворенности граждан Российской Федерации качеством предоставления государственных и муниципальных услуг с 70 процентов в 2012 году до 90 процентов в 2018 году (с сохранением данной позиции до конца реализации настоящей 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удельного веса организаций, осуществлявших технологические инновации, в общем числе организаций промышленного производства с 9,2 процента в 2012 году до 25 процентов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ведения бизнеса в России - снижение инвестиционных и предпринимательских рисков, снижение уровня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качества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обеспечения экономики высокопрофессиональными управленческими кадрами;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создание практических механизмов по их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перечисленных конечных результатов должно явиться итогом согласованных действий не только со стороны Минэкономразвития России, но и других органов исполнительной власти как федерального, так и регионального уровня, а также частного бизнеса и общества в 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иных государственных программ Российской Федерации,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2" w:history="1">
        <w:r>
          <w:rPr>
            <w:rFonts w:ascii="Calibri" w:hAnsi="Calibri" w:cs="Calibri"/>
            <w:color w:val="0000FF"/>
          </w:rPr>
          <w:t>Развитие</w:t>
        </w:r>
      </w:hyperlink>
      <w:r>
        <w:rPr>
          <w:rFonts w:ascii="Calibri" w:hAnsi="Calibri" w:cs="Calibri"/>
        </w:rPr>
        <w:t xml:space="preserve"> науки и технологий" (ответственный исполнитель - Минобрнауки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3" w:history="1">
        <w:r>
          <w:rPr>
            <w:rFonts w:ascii="Calibri" w:hAnsi="Calibri" w:cs="Calibri"/>
            <w:color w:val="0000FF"/>
          </w:rPr>
          <w:t>Развитие</w:t>
        </w:r>
      </w:hyperlink>
      <w:r>
        <w:rPr>
          <w:rFonts w:ascii="Calibri" w:hAnsi="Calibri" w:cs="Calibri"/>
        </w:rPr>
        <w:t xml:space="preserve"> образования" на 2013 - 2020 годы (ответственный исполнитель - Минобрнауки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4" w:history="1">
        <w:r>
          <w:rPr>
            <w:rFonts w:ascii="Calibri" w:hAnsi="Calibri" w:cs="Calibri"/>
            <w:color w:val="0000FF"/>
          </w:rPr>
          <w:t>Развитие</w:t>
        </w:r>
      </w:hyperlink>
      <w:r>
        <w:rPr>
          <w:rFonts w:ascii="Calibri" w:hAnsi="Calibri" w:cs="Calibri"/>
        </w:rPr>
        <w:t xml:space="preserve"> промышленности и повышение ее конкурентоспособности" (ответственный исполнитель - Минпромторг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"Информационное </w:t>
      </w:r>
      <w:hyperlink r:id="rId35" w:history="1">
        <w:r>
          <w:rPr>
            <w:rFonts w:ascii="Calibri" w:hAnsi="Calibri" w:cs="Calibri"/>
            <w:color w:val="0000FF"/>
          </w:rPr>
          <w:t>общество</w:t>
        </w:r>
      </w:hyperlink>
      <w:r>
        <w:rPr>
          <w:rFonts w:ascii="Calibri" w:hAnsi="Calibri" w:cs="Calibri"/>
        </w:rPr>
        <w:t xml:space="preserve"> (2011 - 2020 годы)" (ответственный исполнитель - Минкомсвязь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6" w:history="1">
        <w:r>
          <w:rPr>
            <w:rFonts w:ascii="Calibri" w:hAnsi="Calibri" w:cs="Calibri"/>
            <w:color w:val="0000FF"/>
          </w:rPr>
          <w:t>Развитие</w:t>
        </w:r>
      </w:hyperlink>
      <w:r>
        <w:rPr>
          <w:rFonts w:ascii="Calibri" w:hAnsi="Calibri" w:cs="Calibri"/>
        </w:rPr>
        <w:t xml:space="preserve"> транспортной системы" (ответственный исполнитель - Минтранс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7" w:history="1">
        <w:r>
          <w:rPr>
            <w:rFonts w:ascii="Calibri" w:hAnsi="Calibri" w:cs="Calibri"/>
            <w:color w:val="0000FF"/>
          </w:rPr>
          <w:t>Развитие</w:t>
        </w:r>
      </w:hyperlink>
      <w:r>
        <w:rPr>
          <w:rFonts w:ascii="Calibri" w:hAnsi="Calibri" w:cs="Calibri"/>
        </w:rPr>
        <w:t xml:space="preserve"> внешнеэкономической деятельности" (ответственный исполнитель - Минэкономразвития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8" w:history="1">
        <w:r>
          <w:rPr>
            <w:rFonts w:ascii="Calibri" w:hAnsi="Calibri" w:cs="Calibri"/>
            <w:color w:val="0000FF"/>
          </w:rPr>
          <w:t>Энергоэффективность</w:t>
        </w:r>
      </w:hyperlink>
      <w:r>
        <w:rPr>
          <w:rFonts w:ascii="Calibri" w:hAnsi="Calibri" w:cs="Calibri"/>
        </w:rPr>
        <w:t xml:space="preserve"> и развитие энергетики" (ответственный исполнитель - Минэнерго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"Региональная </w:t>
      </w:r>
      <w:hyperlink r:id="rId39" w:history="1">
        <w:r>
          <w:rPr>
            <w:rFonts w:ascii="Calibri" w:hAnsi="Calibri" w:cs="Calibri"/>
            <w:color w:val="0000FF"/>
          </w:rPr>
          <w:t>политика</w:t>
        </w:r>
      </w:hyperlink>
      <w:r>
        <w:rPr>
          <w:rFonts w:ascii="Calibri" w:hAnsi="Calibri" w:cs="Calibri"/>
        </w:rPr>
        <w:t xml:space="preserve"> и федеративные отношения" (ответственный исполнитель - Минрегион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0" w:history="1">
        <w:r>
          <w:rPr>
            <w:rFonts w:ascii="Calibri" w:hAnsi="Calibri" w:cs="Calibri"/>
            <w:color w:val="0000FF"/>
          </w:rPr>
          <w:t>Управление</w:t>
        </w:r>
      </w:hyperlink>
      <w:r>
        <w:rPr>
          <w:rFonts w:ascii="Calibri" w:hAnsi="Calibri" w:cs="Calibri"/>
        </w:rPr>
        <w:t xml:space="preserve"> государственными финансами" (ответственный исполнитель - Минфин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41" w:history="1">
        <w:r>
          <w:rPr>
            <w:rFonts w:ascii="Calibri" w:hAnsi="Calibri" w:cs="Calibri"/>
            <w:color w:val="0000FF"/>
          </w:rPr>
          <w:t>Развитие</w:t>
        </w:r>
      </w:hyperlink>
      <w:r>
        <w:rPr>
          <w:rFonts w:ascii="Calibri" w:hAnsi="Calibri" w:cs="Calibri"/>
        </w:rPr>
        <w:t xml:space="preserve"> финансовых и страховых рынков, создание международного финансового центра" (ответственный исполнитель - Минфин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"Космическая </w:t>
      </w:r>
      <w:hyperlink r:id="rId42" w:history="1">
        <w:r>
          <w:rPr>
            <w:rFonts w:ascii="Calibri" w:hAnsi="Calibri" w:cs="Calibri"/>
            <w:color w:val="0000FF"/>
          </w:rPr>
          <w:t>деятельность</w:t>
        </w:r>
      </w:hyperlink>
      <w:r>
        <w:rPr>
          <w:rFonts w:ascii="Calibri" w:hAnsi="Calibri" w:cs="Calibri"/>
        </w:rPr>
        <w:t xml:space="preserve"> России на 2013 - 2020 годы" (ответственный исполнитель - Роскосмос).</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3" w:name="Par300"/>
      <w:bookmarkEnd w:id="13"/>
      <w:r>
        <w:rPr>
          <w:rFonts w:ascii="Calibri" w:hAnsi="Calibri" w:cs="Calibri"/>
        </w:rPr>
        <w:lastRenderedPageBreak/>
        <w:t>4. Сроки и этапы 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настоящей государственной программы рассчитан на период 2013 - 2020 годов (в один этап).</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14" w:name="Par304"/>
      <w:bookmarkEnd w:id="14"/>
      <w:r>
        <w:rPr>
          <w:rFonts w:ascii="Calibri" w:hAnsi="Calibri" w:cs="Calibri"/>
        </w:rPr>
        <w:t>III. Обоснование выделения подпрограмм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включения в состав государственной программы реализуемых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целевых программ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заявленных целей и решения поставленных задач в рамках настоящей государственной программы предусмотрена реализация 10 подпрограмм и 1 федеральной целевой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730" w:history="1">
        <w:r>
          <w:rPr>
            <w:rFonts w:ascii="Calibri" w:hAnsi="Calibri" w:cs="Calibri"/>
            <w:color w:val="0000FF"/>
          </w:rPr>
          <w:t>Формирование</w:t>
        </w:r>
      </w:hyperlink>
      <w:r>
        <w:rPr>
          <w:rFonts w:ascii="Calibri" w:hAnsi="Calibri" w:cs="Calibri"/>
        </w:rPr>
        <w:t xml:space="preserve"> благоприятной инвестиционной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334" w:history="1">
        <w:r>
          <w:rPr>
            <w:rFonts w:ascii="Calibri" w:hAnsi="Calibri" w:cs="Calibri"/>
            <w:color w:val="0000FF"/>
          </w:rPr>
          <w:t>Развитие</w:t>
        </w:r>
      </w:hyperlink>
      <w:r>
        <w:rPr>
          <w:rFonts w:ascii="Calibri" w:hAnsi="Calibri" w:cs="Calibri"/>
        </w:rPr>
        <w:t xml:space="preserve">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656" w:history="1">
        <w:r>
          <w:rPr>
            <w:rFonts w:ascii="Calibri" w:hAnsi="Calibri" w:cs="Calibri"/>
            <w:color w:val="0000FF"/>
          </w:rPr>
          <w:t>Создание</w:t>
        </w:r>
      </w:hyperlink>
      <w:r>
        <w:rPr>
          <w:rFonts w:ascii="Calibri" w:hAnsi="Calibri" w:cs="Calibri"/>
        </w:rPr>
        <w:t xml:space="preserve"> благоприятных условий для развития рынка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932" w:history="1">
        <w:r>
          <w:rPr>
            <w:rFonts w:ascii="Calibri" w:hAnsi="Calibri" w:cs="Calibri"/>
            <w:color w:val="0000FF"/>
          </w:rPr>
          <w:t>Совершенствование</w:t>
        </w:r>
      </w:hyperlink>
      <w:r>
        <w:rPr>
          <w:rFonts w:ascii="Calibri" w:hAnsi="Calibri" w:cs="Calibri"/>
        </w:rPr>
        <w:t xml:space="preserve"> государственного 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2173" w:history="1">
        <w:r>
          <w:rPr>
            <w:rFonts w:ascii="Calibri" w:hAnsi="Calibri" w:cs="Calibri"/>
            <w:color w:val="0000FF"/>
          </w:rPr>
          <w:t>Стимулирование</w:t>
        </w:r>
      </w:hyperlink>
      <w:r>
        <w:rPr>
          <w:rFonts w:ascii="Calibri" w:hAnsi="Calibri" w:cs="Calibri"/>
        </w:rPr>
        <w:t xml:space="preserve">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2572" w:history="1">
        <w:r>
          <w:rPr>
            <w:rFonts w:ascii="Calibri" w:hAnsi="Calibri" w:cs="Calibri"/>
            <w:color w:val="0000FF"/>
          </w:rPr>
          <w:t>Повышение</w:t>
        </w:r>
      </w:hyperlink>
      <w:r>
        <w:rPr>
          <w:rFonts w:ascii="Calibri" w:hAnsi="Calibri" w:cs="Calibri"/>
        </w:rPr>
        <w:t xml:space="preserve"> эффективности функционирования естественных монополий и иных регулируемых организаций и развитие стимулирующего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2888" w:history="1">
        <w:r>
          <w:rPr>
            <w:rFonts w:ascii="Calibri" w:hAnsi="Calibri" w:cs="Calibri"/>
            <w:color w:val="0000FF"/>
          </w:rPr>
          <w:t>Кадры</w:t>
        </w:r>
      </w:hyperlink>
      <w:r>
        <w:rPr>
          <w:rFonts w:ascii="Calibri" w:hAnsi="Calibri" w:cs="Calibri"/>
        </w:rPr>
        <w:t xml:space="preserve"> для инновационной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196" w:history="1">
        <w:r>
          <w:rPr>
            <w:rFonts w:ascii="Calibri" w:hAnsi="Calibri" w:cs="Calibri"/>
            <w:color w:val="0000FF"/>
          </w:rPr>
          <w:t>Совершенствование</w:t>
        </w:r>
      </w:hyperlink>
      <w:r>
        <w:rPr>
          <w:rFonts w:ascii="Calibri" w:hAnsi="Calibri" w:cs="Calibri"/>
        </w:rPr>
        <w:t xml:space="preserve"> системы государственного стратегического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510" w:history="1">
        <w:r>
          <w:rPr>
            <w:rFonts w:ascii="Calibri" w:hAnsi="Calibri" w:cs="Calibri"/>
            <w:color w:val="0000FF"/>
          </w:rPr>
          <w:t>Формирование</w:t>
        </w:r>
      </w:hyperlink>
      <w:r>
        <w:rPr>
          <w:rFonts w:ascii="Calibri" w:hAnsi="Calibri" w:cs="Calibri"/>
        </w:rPr>
        <w:t xml:space="preserve">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792" w:history="1">
        <w:r>
          <w:rPr>
            <w:rFonts w:ascii="Calibri" w:hAnsi="Calibri" w:cs="Calibri"/>
            <w:color w:val="0000FF"/>
          </w:rPr>
          <w:t>Создание</w:t>
        </w:r>
      </w:hyperlink>
      <w:r>
        <w:rPr>
          <w:rFonts w:ascii="Calibri" w:hAnsi="Calibri" w:cs="Calibri"/>
        </w:rPr>
        <w:t xml:space="preserve"> и развитие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w:anchor="Par4701" w:history="1">
        <w:r>
          <w:rPr>
            <w:rFonts w:ascii="Calibri" w:hAnsi="Calibri" w:cs="Calibri"/>
            <w:color w:val="0000FF"/>
          </w:rPr>
          <w:t>программа</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благоприятного предпринимательского климата и условий для ведения бизнеса направлены соответствующие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утверждения и реализации мер по созданию благоприятных условий ведения бизнеса в России и привлечению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334"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932"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 в части утверждения и реализации мер, направленных на устранение избыточного регулирования и неоправданного вмешательства государства в деятельность хозяйствующих субъектов;</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3792"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 в части создания комфортных условия для ведения инновационного бизнеса до стадии промышленного производства.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повышения инновационной активности бизнеса будет способствовать выполнение соответствующих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 в части утверждения и реализации мер, направленных на содействие формированию экономики знаний и высоких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2572" w:history="1">
        <w:r>
          <w:rPr>
            <w:rFonts w:ascii="Calibri" w:hAnsi="Calibri" w:cs="Calibri"/>
            <w:color w:val="0000FF"/>
          </w:rPr>
          <w:t>подпрограммы</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 - в части утверждения и реализации мер, обеспечивающих продвижение соответствующей государственной политики в сфере естественных монополий и тарифного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2888" w:history="1">
        <w:r>
          <w:rPr>
            <w:rFonts w:ascii="Calibri" w:hAnsi="Calibri" w:cs="Calibri"/>
            <w:color w:val="0000FF"/>
          </w:rPr>
          <w:t>подпрограммы</w:t>
        </w:r>
      </w:hyperlink>
      <w:r>
        <w:rPr>
          <w:rFonts w:ascii="Calibri" w:hAnsi="Calibri" w:cs="Calibri"/>
        </w:rPr>
        <w:t xml:space="preserve"> "Кадры для инновационной экономики" - в части утверждения и реализации мер, направленных на повышение качества и модернизацию кадрового потенциала страны, обеспечение всех отраслей экономики и социальной сферы высококвалифицированными </w:t>
      </w:r>
      <w:r>
        <w:rPr>
          <w:rFonts w:ascii="Calibri" w:hAnsi="Calibri" w:cs="Calibri"/>
        </w:rPr>
        <w:lastRenderedPageBreak/>
        <w:t>управленцами;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3196"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 в части утверждения и реализации мер, способствующих продвижению государственной политики, направленной на структурную диверсификацию и модернизацию традиционных секторов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3792"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 в части создания образца инновационной экосистемы, направленной на реализацию исследований, разработок и коммерциализацию их результатов по приоритетным направлениям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будет обеспечиваться выполнением соответствующих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формирования благоприятных условий для ведения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656"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 в части утверждения и реализации мер, направленных на совершенствование государственной политики и повышение эффективности реализации государственных функций в сфере земельных отношений, регистрации прав на недвижимость и сделок с ним,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932"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 в части утверждения и реализации мер, направленных на повышение качества государственного 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3196"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 в части утверждения и реализации мер, направленных на повышение качества и результативности проводимой государственной политики в социальной сфере и сфере регионального развития, совершенствование системы государственного стратегического планирования, развитие системы государственного прогнозирования социально-экономического развития, расширения использования программно-целевых методов управления, совершенствования механизмов государственных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3510"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 в части утверждения и реализации мер, направленных на совершенствование системы сбора, обработки и предоставления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федеральной целевой </w:t>
      </w:r>
      <w:hyperlink w:anchor="Par4701" w:history="1">
        <w:r>
          <w:rPr>
            <w:rFonts w:ascii="Calibri" w:hAnsi="Calibri" w:cs="Calibri"/>
            <w:color w:val="0000FF"/>
          </w:rPr>
          <w:t>программы</w:t>
        </w:r>
      </w:hyperlink>
      <w:r>
        <w:rPr>
          <w:rFonts w:ascii="Calibri" w:hAnsi="Calibri" w:cs="Calibri"/>
        </w:rPr>
        <w:t xml:space="preserve"> "Развитие единой государственной системы регистрации прав и кадастрового учета недвижимости (2014 - 2019 годы)" - в части реализации мер, направленных на 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 обеспечение организации предоставления услуг по принципу "одного окна" и переход к оценке гражданами качества предоставления услуг, а также 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15" w:name="Par340"/>
      <w:bookmarkEnd w:id="15"/>
      <w:r>
        <w:rPr>
          <w:rFonts w:ascii="Calibri" w:hAnsi="Calibri" w:cs="Calibri"/>
        </w:rPr>
        <w:t>IV. Обобщенная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Представленная в предыдущем </w:t>
      </w:r>
      <w:hyperlink w:anchor="Par304" w:history="1">
        <w:r>
          <w:rPr>
            <w:rFonts w:ascii="Calibri" w:hAnsi="Calibri" w:cs="Calibri"/>
            <w:color w:val="0000FF"/>
          </w:rPr>
          <w:t>разделе</w:t>
        </w:r>
      </w:hyperlink>
      <w:r>
        <w:rPr>
          <w:rFonts w:ascii="Calibri" w:hAnsi="Calibri" w:cs="Calibri"/>
        </w:rPr>
        <w:t xml:space="preserve"> характеристика подпрограмм с точки зрения их направленности на достижение целей настоящей государственной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настоящей государственной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настоящей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6" w:name="Par345"/>
      <w:bookmarkEnd w:id="16"/>
      <w:r>
        <w:rPr>
          <w:rFonts w:ascii="Calibri" w:hAnsi="Calibri" w:cs="Calibri"/>
        </w:rPr>
        <w:t>1. Подпрограмма "Формирование благоприятной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инвестиционной среды"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основных мероприятий, обеспечивающих: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работы институтов содействующих инвестиционной деятельности и привлечению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экономических и инвестиционных форумов, семинаров и конференций;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системных мер, направленных на улучшение условий ведения предпринимательской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институтов корпоративного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защиты имущественных прав;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нормативно-методологического обеспечения оценки регулирующего воздействия;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инфраструктуры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предпринимательской активности;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всем заинтересованным лицам равного открытого доступа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развитию конкуренции и совершенствованию антимонопольной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и обеспечение контроля за соблюдением антимонопольного </w:t>
      </w:r>
      <w:hyperlink r:id="rId43" w:history="1">
        <w:r>
          <w:rPr>
            <w:rFonts w:ascii="Calibri" w:hAnsi="Calibri" w:cs="Calibri"/>
            <w:color w:val="0000FF"/>
          </w:rPr>
          <w:t>законодательства</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контроля за соблюдением ограничений, установленных для иностранных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"Развитие судебной системы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МБРР "Содействие созданию и развитию особых экономических зон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федеральной контрактной системы.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7" w:name="Par367"/>
      <w:bookmarkEnd w:id="17"/>
      <w:r>
        <w:rPr>
          <w:rFonts w:ascii="Calibri" w:hAnsi="Calibri" w:cs="Calibri"/>
        </w:rPr>
        <w:t>2. Подпрограмма "Развитие малого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основных мероприятий "Федеральная финансовая программа поддержки малого и среднего предпринимательства" и "Совершенствование законодательства в сфере малого и среднего предпринимательства", в рамках которых будут реализованы следующие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малого и среднего предпринимательства, по субъектам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доступности финансовых ресурсов для субъектов малого и среднего </w:t>
      </w:r>
      <w:r>
        <w:rPr>
          <w:rFonts w:ascii="Calibri" w:hAnsi="Calibri" w:cs="Calibri"/>
        </w:rPr>
        <w:lastRenderedPageBreak/>
        <w:t>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 включая разработку и принятие упрощенных стандартов бухгалтерской отчетности.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8" w:name="Par383"/>
      <w:bookmarkEnd w:id="18"/>
      <w:r>
        <w:rPr>
          <w:rFonts w:ascii="Calibri" w:hAnsi="Calibri" w:cs="Calibri"/>
        </w:rPr>
        <w:t>3. Подпрограмма "Создание благоприятных условий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рынка недвижимости"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предполагающих: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 а также Единой электронной картографической основы;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государственной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проекта МБРР "Развитие системы государственной регистрации прав на недвижимость".</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9" w:name="Par392"/>
      <w:bookmarkEnd w:id="19"/>
      <w:r>
        <w:rPr>
          <w:rFonts w:ascii="Calibri" w:hAnsi="Calibri" w:cs="Calibri"/>
        </w:rPr>
        <w:t>4. Подпрограмма "Совершенствование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трех основных мероприятий, предполагающих: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системных мер по снижению административных барьеров и повышению доступности и качества государственных и муниципальных услуг, включая: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досудебного обжалования;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 и декларирования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уведомительного порядка осуществления предпринимательской и профессиональной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контроля и надзора;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механизмов саморегулирования;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выполнения отраслевых мер, направленных на совершенствование разрешительной и контрольно-надзорной деятельности и реинжиниринг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и осуществление контроля за деятельностью аккредитованных лиц.</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0" w:name="Par409"/>
      <w:bookmarkEnd w:id="20"/>
      <w:r>
        <w:rPr>
          <w:rFonts w:ascii="Calibri" w:hAnsi="Calibri" w:cs="Calibri"/>
        </w:rPr>
        <w:t>5. Подпрограмма "Стимулирование инноваций"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двенадцать основных мероприятий, обеспечивающих: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инновационной политики Российской Федерации, в том числе по созданию биоэкономики;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создания и обеспечение функционирования и развития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инноваций в компаниях 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поддержку реализации проектов развития конкурентных преимуществ по приоритетным направлениям технологического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институтов и инфраструктур, обеспечивающих запуск и работу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государственных закупок;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научно-исследовательских, опытно-конструкторских и технологических работ военного, специального и двойного назначения;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институтов развития в сфере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кадров мирового уровня для отрасли информационных технологий и выполнение исследований в территориально обособленном инновационном центре "Иннополис";</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1" w:name="Par422"/>
      <w:bookmarkEnd w:id="21"/>
      <w:r>
        <w:rPr>
          <w:rFonts w:ascii="Calibri" w:hAnsi="Calibri" w:cs="Calibri"/>
        </w:rPr>
        <w:t>6. Подпрограмма "Повышение эффективности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естественных монополий и иных регулируемых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и развитие стимулирующего регулирования"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и решение поставленных задач подпрограммы будет осуществляться в рамках реализации двух основных мероприятий, направленных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субъектов естественных монополий и иных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обоснованного государственного регулирования цен и тарифов на товары (услуги)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государственного контроля за установлением и применением регулируемых цен и тарифов на товары (услуги)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2" w:name="Par432"/>
      <w:bookmarkEnd w:id="22"/>
      <w:r>
        <w:rPr>
          <w:rFonts w:ascii="Calibri" w:hAnsi="Calibri" w:cs="Calibri"/>
        </w:rPr>
        <w:t>7. Подпрограмма "Кадры для инновационной экономики"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шести основных мероприятий, предусматривающих: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мониторинга образовательных программ и контроля качества подготовки специалистов в рамках Государственного плана подготовки управленческих кадров для </w:t>
      </w:r>
      <w:r>
        <w:rPr>
          <w:rFonts w:ascii="Calibri" w:hAnsi="Calibri" w:cs="Calibri"/>
        </w:rPr>
        <w:lastRenderedPageBreak/>
        <w:t>организаций народного хозяйства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подготовки и зарубежных стажировок для управленческих кадров в сфере здравоохранения и образования.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3" w:name="Par443"/>
      <w:bookmarkEnd w:id="23"/>
      <w:r>
        <w:rPr>
          <w:rFonts w:ascii="Calibri" w:hAnsi="Calibri" w:cs="Calibri"/>
        </w:rPr>
        <w:t>8. Подпрограмма "Совершенствование системы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восемь основных мероприятий, направленных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точности, а также достоверности прогноза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государственной политики, направленной на модернизацию секторов экономики, стимулирование диверсификации и повышение конкурентоспособности приоритетных отраслей экономики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государственной политики, направленной на повышение качества жизни граждан Российской Федерации и эффективное развитие отраслей социальной сферы за счет внедрения экономически обоснованных механизмов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государственных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федеральных органов исполнительной власти по разработке федеральных целевых программ и целевых программ ведомств.</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4" w:name="Par455"/>
      <w:bookmarkEnd w:id="24"/>
      <w:r>
        <w:rPr>
          <w:rFonts w:ascii="Calibri" w:hAnsi="Calibri" w:cs="Calibri"/>
        </w:rPr>
        <w:t>9. Подпрограмма "Формирование официальной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статистической информации"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восьми основных мероприятий, реализацию которых планируется осуществить путем: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проведения переписей, сплошных обследований и федеральных статистических наблюдений в целях формирования официальной статистической информации о социальных, экономических, демографических, экологических и других общественных процессах;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официальной статистической методологии и обеспечения соответствия ее международным стандартам и принципам официальной статистики;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сбора, обработки, хранения и распространения статистической информации органов государственной статистики с использованием современных информационно-коммуникационных технологий.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5" w:name="Par463"/>
      <w:bookmarkEnd w:id="25"/>
      <w:r>
        <w:rPr>
          <w:rFonts w:ascii="Calibri" w:hAnsi="Calibri" w:cs="Calibri"/>
        </w:rPr>
        <w:t>10. Подпрограмма "Создание и развитие инновационного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центра "Сколково"</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будет осуществляться в рамках реализации трех основных мероприятий, направленных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исследований в автономной некоммерческой образовательной организации высшего профессионального образования "Сколковский институт науки и технологий" в целях научного обеспечения инновационных процессов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управление физической инфраструктурой инновационного центра "Сколково" для осуществления исследований и разработок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"Сколково" носит комплексный пилотный характер, затрагивает разнообразные аспекты и этапы разработки и коммерциализации высокотехнологичных исследований. Поскольку </w:t>
      </w:r>
      <w:r>
        <w:rPr>
          <w:rFonts w:ascii="Calibri" w:hAnsi="Calibri" w:cs="Calibri"/>
        </w:rPr>
        <w:lastRenderedPageBreak/>
        <w:t>проект "Сколково" служит площадкой для отработки модели управления инновациями для дальнейшего масштабирования на другие инновационные центры страны, в подпрограмме приведено не только описание общих принципов функционирования проекта "Сколково", но и содержание основных мероприятий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26" w:name="Par472"/>
      <w:bookmarkEnd w:id="26"/>
      <w:r>
        <w:rPr>
          <w:rFonts w:ascii="Calibri" w:hAnsi="Calibri" w:cs="Calibri"/>
        </w:rPr>
        <w:t>V. Обобщенная характеристика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государственной программы предусматриваются меры государственного регулирования, оказывающие влияние на доходы и расходы бюджетов бюджетной системы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предусмотренная в рамках </w:t>
      </w: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реализация основного мероприятия "Развитие особых экономических зон", включающая обеспечение создания и развития особых экономических зон на территории Российской Федерации, обеспечит увеличение доходов бюджетов бюджетной системы от налоговых поступлений резидентов особых экономических зон всех типов.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предусматриваются меры налогового регулирования в части исключения из налогооблагаемой базы по налогу на прибыль средств, полученных из Фонда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предусмотрено распространение части льгот, предусмотренных Федеральным </w:t>
      </w:r>
      <w:hyperlink r:id="rId44" w:history="1">
        <w:r>
          <w:rPr>
            <w:rFonts w:ascii="Calibri" w:hAnsi="Calibri" w:cs="Calibri"/>
            <w:color w:val="0000FF"/>
          </w:rPr>
          <w:t>законом</w:t>
        </w:r>
      </w:hyperlink>
      <w:r>
        <w:rPr>
          <w:rFonts w:ascii="Calibri" w:hAnsi="Calibri" w:cs="Calibri"/>
        </w:rPr>
        <w:t xml:space="preserve"> "Об инновационном центре "Сколково", на наукограды, закрытые административно-территориальные организации, а также иные территории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 обеспечит достижение целевых значений показателей настоящей государственной программы в сфере инновационного развития российской экономики. Реализация настоящей государственной программы предполагает разработку и утверждение комплекса мер государственного правового регулирования. В частности: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будет осуществлена: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актов, направленных на существенное упрощение и сокращение числа процедур, необходимых для ведения предпринимательской деятельности, снижение сроков и стоимости прохождения процедур;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экспертизе имеющихся и разработке новых нормативных правовых актов налогового законодательства с целью налогового стимулирования инвестиционной активности;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рамках проводимой в настоящее время амортизационной политики с целью привлечения финансовых ресурсов для инвестиций в обновление и модернизацию основных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нормативно-правового регулирования корпоративного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по совершенствованию </w:t>
      </w:r>
      <w:hyperlink r:id="rId45" w:history="1">
        <w:r>
          <w:rPr>
            <w:rFonts w:ascii="Calibri" w:hAnsi="Calibri" w:cs="Calibri"/>
            <w:color w:val="0000FF"/>
          </w:rPr>
          <w:t>законодательства</w:t>
        </w:r>
      </w:hyperlink>
      <w:r>
        <w:rPr>
          <w:rFonts w:ascii="Calibri" w:hAnsi="Calibri" w:cs="Calibri"/>
        </w:rPr>
        <w:t xml:space="preserve"> об особых экономических зонах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мер по развитию конкуренции и совершенствованию антимонопольной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также предусматривается дальнейшее развитие процедур оценки регулирующего воздействия проектов нормативных правовых актов.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"Развитие малого и среднего предпринимательства" будет осуществлена работа по экспертизе имеющихся и разработке новых нормативных правовых актов, направленных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порядка конкурсного отбора субъектов Российской Федерации, бюджетам </w:t>
      </w:r>
      <w:r>
        <w:rPr>
          <w:rFonts w:ascii="Calibri" w:hAnsi="Calibri" w:cs="Calibri"/>
        </w:rPr>
        <w:lastRenderedPageBreak/>
        <w:t>которых предоставляются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распределения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приоритетных мероприятий при реализации Федеральной финансовой программы поддержки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Центрального банка Российской Федерации, регулирующей ведение кассовых операций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656"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будут разработаны нормативные правовые акты, направленные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взаимодействия учетно-регистрационной системы с заявителями;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ведению государственного кадастра недвижимости и единого государственного реестра прав на недвижимое имущество в электронном виде и оптимизация внутриведомственных процедур;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сведений о недвижимости, содержащихся в учетно-регистрационной системе;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кадастровой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ограничений на доступ к информации в картографо-геодезической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использования информации об адресах объектов капитального строительства и земельных участков;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геодезической и картографической деятельности, создание и развитие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 предусмотренные реализацией соответствующей "дорожной карты" национальной предпринимательской инициативы.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932"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будут разработаны общесистемные меры правового регулирования, направленные на снижение административных барьеров и повышение доступности государственных и муниципальных услуг, в том числе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дальнейшую унификацию и упорядочение системы нормативно-правового регулирования в сфере лицензирования, государственного контроля (надзора), государственной регистрации, иной разрешительной деятельности государственных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муниципального контроля;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дублирования различных контрольно-надзорных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саморегулирования, включая осуществление корпоративного нормативного регулирования, контроля, страхования гражданской ответственности, в сферах профессиональной деятельности (частная медицинская, образовательная, сыскная, охранная, экспертная, нотариальная, адвокатская и другие виды профессиональной деятельности физических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мониторинга эффективности деятельности контрольно-надзорных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 экономической деятельности, в которых вводится уведомительный порядок начала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организационной структуры, численности и финансового обеспечения контрольно-надзорных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органов исполнительной власти и органов местного самоуправления, их информационной открытости;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"Стимулирование инноваций" будет осуществлена работа по экспертизе существующих и разработке новых нормативных правовых актов, а также актов в области налогового, таможенного, тарифного, кредитного регулирования с целью: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либерализации амортизационной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налогового, таможенного, тарифного, кредитного администрирования (общие меры, будут способствовать экономическому росту, реализуются в рамках государственных программ Российской Федерации "</w:t>
      </w:r>
      <w:hyperlink r:id="rId46" w:history="1">
        <w:r>
          <w:rPr>
            <w:rFonts w:ascii="Calibri" w:hAnsi="Calibri" w:cs="Calibri"/>
            <w:color w:val="0000FF"/>
          </w:rPr>
          <w:t>Управление</w:t>
        </w:r>
      </w:hyperlink>
      <w:r>
        <w:rPr>
          <w:rFonts w:ascii="Calibri" w:hAnsi="Calibri" w:cs="Calibri"/>
        </w:rPr>
        <w:t xml:space="preserve"> государственными финансами", "</w:t>
      </w:r>
      <w:hyperlink r:id="rId47" w:history="1">
        <w:r>
          <w:rPr>
            <w:rFonts w:ascii="Calibri" w:hAnsi="Calibri" w:cs="Calibri"/>
            <w:color w:val="0000FF"/>
          </w:rPr>
          <w:t>Развитие</w:t>
        </w:r>
      </w:hyperlink>
      <w:r>
        <w:rPr>
          <w:rFonts w:ascii="Calibri" w:hAnsi="Calibri" w:cs="Calibri"/>
        </w:rPr>
        <w:t xml:space="preserve"> внешнеэкономической деятельности" и "</w:t>
      </w:r>
      <w:hyperlink r:id="rId48" w:history="1">
        <w:r>
          <w:rPr>
            <w:rFonts w:ascii="Calibri" w:hAnsi="Calibri" w:cs="Calibri"/>
            <w:color w:val="0000FF"/>
          </w:rPr>
          <w:t>Развитие</w:t>
        </w:r>
      </w:hyperlink>
      <w:r>
        <w:rPr>
          <w:rFonts w:ascii="Calibri" w:hAnsi="Calibri" w:cs="Calibri"/>
        </w:rPr>
        <w:t xml:space="preserve"> финансовых и страховых рынков, создание международного финансового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созданию долгосрочных параметров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опытно-конструкторские и технологические работы военного, специального и двойного назначения для государственных нужд в рамках создания федеральной контрактной 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уточнения порядка оказания поддержки инновационной деятельности для крупного и среднего бизнеса (РФТР);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коммерциализации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порядка предоставления поддержки наукоградам, закрытым административно-территориальным организациям, а также муниципальным образованиям согласно перечню, утверждаемому Правительством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572" w:history="1">
        <w:r>
          <w:rPr>
            <w:rFonts w:ascii="Calibri" w:hAnsi="Calibri" w:cs="Calibri"/>
            <w:color w:val="0000FF"/>
          </w:rPr>
          <w:t>подпрограммы</w:t>
        </w:r>
      </w:hyperlink>
      <w:r>
        <w:rPr>
          <w:rFonts w:ascii="Calibri" w:hAnsi="Calibri" w:cs="Calibri"/>
        </w:rP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 планируется совершенствование нормативной правовой базы, обеспечивающей государственное регулирование цен (тарифов) на товары (услуги) субъектов естественных монополий,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 значимые товары и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888" w:history="1">
        <w:r>
          <w:rPr>
            <w:rFonts w:ascii="Calibri" w:hAnsi="Calibri" w:cs="Calibri"/>
            <w:color w:val="0000FF"/>
          </w:rPr>
          <w:t>подпрограммы</w:t>
        </w:r>
      </w:hyperlink>
      <w:r>
        <w:rPr>
          <w:rFonts w:ascii="Calibri" w:hAnsi="Calibri" w:cs="Calibri"/>
        </w:rPr>
        <w:t xml:space="preserve"> "Кадры для инновационной экономики" основные меры правового регулирования связаны с разработкой, утверждением и реализацией Государственного плана подготовки управленческих кадров для организаций народного хозяйства Российской Федерации на 2013/14 - 2015/16 учебные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196"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будет осуществлена разработка нормативной правовой базы, направленной на реализацию проекта федерального закона "О стратегическом планировании в Российской Федерации", а также совершенствование нормативной правовой базы, регулирующей вопросы внедрения программно-целевых методов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правового регулирования в рамках </w:t>
      </w:r>
      <w:hyperlink w:anchor="Par3510"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предполагает актуализацию Федерального </w:t>
      </w:r>
      <w:hyperlink r:id="rId49"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 в том числе с учетом обеспечения мониторинга хода реализации государственных программ Российской Федерации, а также создание нормативно-правовой базы проведения всероссийских переписей.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792" w:history="1">
        <w:r>
          <w:rPr>
            <w:rFonts w:ascii="Calibri" w:hAnsi="Calibri" w:cs="Calibri"/>
            <w:color w:val="0000FF"/>
          </w:rPr>
          <w:t>подпрограммы</w:t>
        </w:r>
      </w:hyperlink>
      <w:r>
        <w:rPr>
          <w:rFonts w:ascii="Calibri" w:hAnsi="Calibri" w:cs="Calibri"/>
        </w:rPr>
        <w:t xml:space="preserve"> "Создание и развитие инновационного центра "Сколково" предусмотрена реализация мер правового регулирования, направленного на установление льготных налогового, таможенного и миграционного режимов для участников проекта "Сколково", совершенствование законодательства в сфере научно-исследовательской и преподавательской деятельности, а также механизмов коммерциализации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государственной программы приведены в </w:t>
      </w:r>
      <w:hyperlink w:anchor="Par8403" w:history="1">
        <w:r>
          <w:rPr>
            <w:rFonts w:ascii="Calibri" w:hAnsi="Calibri" w:cs="Calibri"/>
            <w:color w:val="0000FF"/>
          </w:rPr>
          <w:t>приложении N 4</w:t>
        </w:r>
      </w:hyperlink>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27" w:name="Par544"/>
      <w:bookmarkEnd w:id="27"/>
      <w:r>
        <w:rPr>
          <w:rFonts w:ascii="Calibri" w:hAnsi="Calibri" w:cs="Calibri"/>
        </w:rPr>
        <w:t>VI.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настоящей государственной программы предусматривается оказание государственных услуг (выполнение работ) федеральными государственными учреждениями в рамках следующих подпрограмм: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656" w:history="1">
        <w:r>
          <w:rPr>
            <w:rFonts w:ascii="Calibri" w:hAnsi="Calibri" w:cs="Calibri"/>
            <w:color w:val="0000FF"/>
          </w:rPr>
          <w:t>подпрограммы</w:t>
        </w:r>
      </w:hyperlink>
      <w:r>
        <w:rPr>
          <w:rFonts w:ascii="Calibri" w:hAnsi="Calibri" w:cs="Calibri"/>
        </w:rPr>
        <w:t xml:space="preserve"> "Создание благоприятных условий для развития рынка недвижимости" предполагается оказание государственных услуг по осуществлению государственного кадастрового учета, в том числе ведению государственного кадастра недвижимости; предоставлению сведений, внесенных в государственный кадастр недвижимости, по запросам о предоставлении сведений, без взимания платы, приему документов на государственную регистрацию прав на недвижимое имущество и сделок с ним, выдаче документов после проведения указанной регистрации прав на недвижимое имущество и сделок с ним, приему документов на предоставление сведений из Единого реестра прав на недвижимое имущество и сделок с ним, выдаче документов, в виде которых предоставляются сведения, содержащиеся в Едином государственном реестре прав на недвижимое имущество и сделок с ним, осуществлению ведомственного телефонного консультирования заинтересованных </w:t>
      </w:r>
      <w:r>
        <w:rPr>
          <w:rFonts w:ascii="Calibri" w:hAnsi="Calibri" w:cs="Calibri"/>
        </w:rPr>
        <w:lastRenderedPageBreak/>
        <w:t>физических и юридических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предполагается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888" w:history="1">
        <w:r>
          <w:rPr>
            <w:rFonts w:ascii="Calibri" w:hAnsi="Calibri" w:cs="Calibri"/>
            <w:color w:val="0000FF"/>
          </w:rPr>
          <w:t>подпрограммы</w:t>
        </w:r>
      </w:hyperlink>
      <w:r>
        <w:rPr>
          <w:rFonts w:ascii="Calibri" w:hAnsi="Calibri" w:cs="Calibri"/>
        </w:rPr>
        <w:t xml:space="preserve"> "Кадры для инновационной экономики" предполагается оказание государственных услуг (выполнение работ) по организации и проведению отбора специалистов и их стажировок в ведущих организациях и за рубежом, в том числе в рамках взаимных обменов, организации обучения сотрудников иностранных организаций в образовательных учреждениях и их стажировки в организациях Российской Федерации, организации и проведению конференций, семинаров и иных мероприятий по оценке эффективности Программы подготовки управленческих кадров и распространению опыта ее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196" w:history="1">
        <w:r>
          <w:rPr>
            <w:rFonts w:ascii="Calibri" w:hAnsi="Calibri" w:cs="Calibri"/>
            <w:color w:val="0000FF"/>
          </w:rPr>
          <w:t>подпрограммы</w:t>
        </w:r>
      </w:hyperlink>
      <w:r>
        <w:rPr>
          <w:rFonts w:ascii="Calibri" w:hAnsi="Calibri" w:cs="Calibri"/>
        </w:rPr>
        <w:t xml:space="preserve"> "Совершенствование системы государственного стратегического управления" предполагается выполнение работ (оказание услуг) по реализации основных профессиональных образовательных программ послевузовского профессионального образования (аспирантура) и выполнению фундаментальных и прикладных научно-исследовательских работ, включенных в научные планы в установленном порядке, с целью научно-аналитического обеспечения развития стратегического планирования и прогнозирования;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510" w:history="1">
        <w:r>
          <w:rPr>
            <w:rFonts w:ascii="Calibri" w:hAnsi="Calibri" w:cs="Calibri"/>
            <w:color w:val="0000FF"/>
          </w:rPr>
          <w:t>подпрограммы</w:t>
        </w:r>
      </w:hyperlink>
      <w:r>
        <w:rPr>
          <w:rFonts w:ascii="Calibri" w:hAnsi="Calibri" w:cs="Calibri"/>
        </w:rPr>
        <w:t xml:space="preserve"> "Формирование официальной статистической информации" предполагается выполнение фундаментальных и прикладных научно-исследовательских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прогноз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представлен в </w:t>
      </w:r>
      <w:hyperlink w:anchor="Par9032" w:history="1">
        <w:r>
          <w:rPr>
            <w:rFonts w:ascii="Calibri" w:hAnsi="Calibri" w:cs="Calibri"/>
            <w:color w:val="0000FF"/>
          </w:rPr>
          <w:t>приложении N 5</w:t>
        </w:r>
      </w:hyperlink>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28" w:name="Par555"/>
      <w:bookmarkEnd w:id="28"/>
      <w:r>
        <w:rPr>
          <w:rFonts w:ascii="Calibri" w:hAnsi="Calibri" w:cs="Calibri"/>
        </w:rPr>
        <w:t>VII. Обобщенная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участие субъектов Российской Федерации в реализации настоящей государственной программы предусмотрено в рамках реализации следующих подпрограмм: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334"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1932"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w:anchor="Par2888" w:history="1">
        <w:r>
          <w:rPr>
            <w:rFonts w:ascii="Calibri" w:hAnsi="Calibri" w:cs="Calibri"/>
            <w:color w:val="0000FF"/>
          </w:rPr>
          <w:t>подпрограммы</w:t>
        </w:r>
      </w:hyperlink>
      <w:r>
        <w:rPr>
          <w:rFonts w:ascii="Calibri" w:hAnsi="Calibri" w:cs="Calibri"/>
        </w:rPr>
        <w:t xml:space="preserve"> "Кадры для инновационной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задач </w:t>
      </w: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предусматривает: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обязательств субъектов Российской Федерации по созданию особых экономических зон, обеспечению их необходимой инфраструктурой (в соответствии с соглашениями);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 субъектах Российской Федерации программ и мероприятий по развитию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 оценки регулирующего воздействия проектов нормативных правовых актов;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аналогичных программ субъектов Российской Федерации в области улучшения инвестиционного климата и повышения инвестиционной привлекательности территорий.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подпрограммы "Развитие малого и среднего предпринимательства" заключается в реализации </w:t>
      </w:r>
      <w:r>
        <w:rPr>
          <w:rFonts w:ascii="Calibri" w:hAnsi="Calibri" w:cs="Calibri"/>
        </w:rPr>
        <w:lastRenderedPageBreak/>
        <w:t>комплексов мероприятий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 прямая финансовая поддержка субъектов малого и среднего предпринимательства, включающая: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малым предприятиям на создание собственного дела, индивидуальным предпринимателям и юридическим лицам в порядке поддержки франчайзинга и коллективных брендов;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дела;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субъектами малого и среднего предпринимательства первого взноса при заключении договоров лизинга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малым компаниям, создаваемым при высших учебных заведениях, а также предоставление грантов на создание малой инновационной компании субъектами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на приобретение машин и оборудования, связанных с технологическими инновациями; на приобретение новых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 опосредованная поддержка развития малого и среднего предпринимательства, включающая: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предпринимательскую деятельность посредством субсидирования работ и услуг, направленных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среднеспециального образования с целью стимулирования создания молодыми людьми новых малых и микропредприятий;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(бизнес-инкубаторов, технопарков, промышленных парков, центров кластерного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венчурного инвестирования и инфраструктуры осуществления прямых инвестиций в реальные сектора экономики на условиях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фондов поручительств (гарантийных фондов) по обязательствам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микрофинансовых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специальных образовательных программ, заключающихся в предоставлении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действующих малых инновационных компаний, участвующих в салонах, </w:t>
      </w:r>
      <w:r>
        <w:rPr>
          <w:rFonts w:ascii="Calibri" w:hAnsi="Calibri" w:cs="Calibri"/>
        </w:rPr>
        <w:lastRenderedPageBreak/>
        <w:t>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Постановлением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утверждены </w:t>
      </w:r>
      <w:hyperlink r:id="rId50" w:history="1">
        <w:r>
          <w:rPr>
            <w:rFonts w:ascii="Calibri" w:hAnsi="Calibri" w:cs="Calibri"/>
            <w:color w:val="0000FF"/>
          </w:rPr>
          <w:t>Правила</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Предоставление субсидий осуществляется на конкурсной основе. Критериями конкурсного отбора субъектов Российской Федерации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бюджета субъекта Российской Федерации, направляемый на государственную поддержку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бюджета субъекта Российской Федерации, направляемая на государственную поддержку субъектов малого и среднего предпринимательства, осуществляющих инновационную деятельность, в общем объеме средств, направляемых на государственную поддержку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1932" w:history="1">
        <w:r>
          <w:rPr>
            <w:rFonts w:ascii="Calibri" w:hAnsi="Calibri" w:cs="Calibri"/>
            <w:color w:val="0000FF"/>
          </w:rPr>
          <w:t>подпрограммы</w:t>
        </w:r>
      </w:hyperlink>
      <w:r>
        <w:rPr>
          <w:rFonts w:ascii="Calibri" w:hAnsi="Calibri" w:cs="Calibri"/>
        </w:rPr>
        <w:t xml:space="preserve"> "Совершенствование государственного и муниципального управления" заключается 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и проектов субъектов Российской Федерации, направленных на снижение административных барьеров и повышение качества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реализации </w:t>
      </w: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предусматривает поддержку регионов - инновационных лидеров, в том числе путем предоставления субсидий из средств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поручения Президента Российской Федерации по итогам заседания президиума Государственного совета Российской Федерации от 11 ноября 2011 г. (протокол от 22 ноября 2011 г. N Пр-3484ГС, пункт 2, подпункт "в"), а также решений Правительственной комиссии по высоким технологиям и инновациям (протокол от 30 января 2012 г. N 1, раздел I, пункт 6, подпункт "б") Правительством Российской Федерации утвержден перечень инновационных территориальных кластеров (поручение от 28 августа 2012 г. N ДМ-П8-5060). Всего отобрано 25 пилотных кластеров, характеризующихся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высоким научно-техническим потенциалом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развитие производственной </w:t>
      </w:r>
      <w:r>
        <w:rPr>
          <w:rFonts w:ascii="Calibri" w:hAnsi="Calibri" w:cs="Calibri"/>
        </w:rPr>
        <w:lastRenderedPageBreak/>
        <w:t>и инвестиционной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кластеры базируются на территориях с высоким уровнем концентрации научно-технической и производственной деятельности, располагающихся в следующих субъектах Российской Федерации: Алтайский край, Архангельская область, Калужская область, Кемеровская область, Красноярский край, Ленинградская область, г. Москва, Московская область, Нижегородская область, Новосибирская область, Пермский край, Республика Башкортостан, Республика Мордовия, Республика Татарстан, Самарская область, г. Санкт-Петербург, Свердловская область, Томская область, Ульяновская область, Хабаровский край.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отобранных пилотных кластеров с учетом оценок их инновационного и производственного потенциала и проработанности представленных программ развития была выделена группа из 14 кластеров, реализацию программ развития которых предполагается поддержать через предоставление субсидий из федерального бюджета бюджетам субъектов Российской Федерации, на территории которых они базируются. При этом предусматривается предоставление указанных субсидий в объеме 1,3 млрд. рублей в 2013 году и дополнительно запрашивается до 5 млрд. рублей ежегодно в течение 5 лет, начиная с 2014 года. Субсидии предлагается выделять в целях софинансирования расходных обязательств субъекта Российской Федерации, возникающих при выполнении мероприятий в рамках поддержки реализации программ развития 14 инновационных территориальных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субъектов Российской Федерации в достижении целей и решении задач </w:t>
      </w: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в рамках основного мероприятия 5.9 "Поддержка регионов - инновационных лидеров" заключается в софинансировании выполнения мероприятий в рамках поддержки реализации программ развития 14 инновационных территориальных кластеров по следующим основным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энергетической, инженерной, жилищной, инновационной, образовательной, социальной инфраструктуры, включая материально-техническую базу здравоохранения, культуры и спорта;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проектов в сфере исследований и разработок, осуществления инновационной деятельности, подготовки и повышения квалификации кадров и реализация других мероприятий в целях повышения конкурентоспособности организаций-участников кластера и повышения качества жизни на территории базирования кластера.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достижении целей и задач подпрограммы "Кадры для инновационной экономики" заключается в реализации следующих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создано 77 региональных комиссий по организации подготовки управленческих кадров и 20 региональных ресурсных центров.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части обучения российских специалистов в образовательных учреждениях. Уполномоченными органами субъектов Российской Федерации осуществляется оплата 33 процентов стоимости услуг по обучению российских специалистов. В соответствии с соглашениями, заключенными между Минэкономразвития России и уполномоченными органами субъектов Российской Федерации, последним из федерального бюджета предоставляется субсидия на софинансирование расходов, связанных с оплатой оказанных образовательными учреждениями услуг по обучению российских специалистов, в размере 33 процентов от общей суммы расходов, связанных с оплатой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Предварительный отбор российских специалистов для участия в зарубежных стажировках в рамках обмена; анализ результатов зарубежных 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а также </w:t>
      </w:r>
      <w:r>
        <w:rPr>
          <w:rFonts w:ascii="Calibri" w:hAnsi="Calibri" w:cs="Calibri"/>
        </w:rPr>
        <w:lastRenderedPageBreak/>
        <w:t>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29" w:name="Par611"/>
      <w:bookmarkEnd w:id="29"/>
      <w:r>
        <w:rPr>
          <w:rFonts w:ascii="Calibri" w:hAnsi="Calibri" w:cs="Calibri"/>
        </w:rPr>
        <w:t>VIII. Информация об участии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фондов в 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и иных юридических лиц предусматривается: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730" w:history="1">
        <w:r>
          <w:rPr>
            <w:rFonts w:ascii="Calibri" w:hAnsi="Calibri" w:cs="Calibri"/>
            <w:color w:val="0000FF"/>
          </w:rPr>
          <w:t>подпрограммы</w:t>
        </w:r>
      </w:hyperlink>
      <w:r>
        <w:rPr>
          <w:rFonts w:ascii="Calibri" w:hAnsi="Calibri" w:cs="Calibri"/>
        </w:rPr>
        <w:t xml:space="preserve"> "Формирование благоприятной инвестиционной среды" - в части деятельности закрытого паевого инвестиционного фонда "Российский фонд прямых инвестиций" по привлечению инвестиций в российскую экономику, деятельности открытого акционерного общества "Особые экономические зоны" по созданию инфраструктуры особых экономических зон, автономной некоммерческой организации "Агентство стратегических инициатив по продвижению новых проектов" по разработке планов мероприятий ("дорожных карт") национальной предпринимательской инициативы, а также участия юридических лиц в реализации региональных программ по формированию благоприятного инвестиционного климата в российских регионах;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334"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 в части поддержки развития малого и среднего бизнеса государственной корпорацией "Банк развития и внешнеэкономической деятельности (Внешэкономбанк)";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173" w:history="1">
        <w:r>
          <w:rPr>
            <w:rFonts w:ascii="Calibri" w:hAnsi="Calibri" w:cs="Calibri"/>
            <w:color w:val="0000FF"/>
          </w:rPr>
          <w:t>подпрограммы</w:t>
        </w:r>
      </w:hyperlink>
      <w:r>
        <w:rPr>
          <w:rFonts w:ascii="Calibri" w:hAnsi="Calibri" w:cs="Calibri"/>
        </w:rPr>
        <w:t xml:space="preserve"> "Стимулирование инноваций" и подпрограммы "Создание и развитие инновационного центра "Сколково" - в части участия в мероприятиях, предусматривающих предоставление бизнесу из федерального бюджета субсидий, направляемых на заказ исследований у высших учебных заведений, поддержку инновационной деятельности бизнеса, а также бюджетных инвестиций на финансирование формирования инновационной инфраструктуры. Предусмотрено непосредственное участие государственных корпораций, акционерных обществ с государственным участием, общественных, научных и иных организаций, в число которых входят: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фонд технологического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с государственным участием, реализующие программы инновационного развития, </w:t>
      </w:r>
      <w:hyperlink r:id="rId51" w:history="1">
        <w:r>
          <w:rPr>
            <w:rFonts w:ascii="Calibri" w:hAnsi="Calibri" w:cs="Calibri"/>
            <w:color w:val="0000FF"/>
          </w:rPr>
          <w:t>перечень</w:t>
        </w:r>
      </w:hyperlink>
      <w:r>
        <w:rPr>
          <w:rFonts w:ascii="Calibri" w:hAnsi="Calibri" w:cs="Calibri"/>
        </w:rPr>
        <w:t xml:space="preserve"> которых утвержден протоколом Правительственной комиссии по высоким технологиям и инновациям от 3 августа 2010 г. N 4;</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протоколом Правительственной комиссии по высоким технологиям и инновациям от 1 апреля 2011 г. N 2;</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названных организаций планируется реализовать следующий комплекс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реализация программ инновационного развития компаний 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60 крупнейших компаний с государственным участием (в сумме на эти </w:t>
      </w:r>
      <w:r>
        <w:rPr>
          <w:rFonts w:ascii="Calibri" w:hAnsi="Calibri" w:cs="Calibri"/>
        </w:rPr>
        <w:lastRenderedPageBreak/>
        <w:t>компании приходится около трети промышленного производства и почти половина всех расходов на НИОКР) разработали и реализуют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реализация должна оказать существенное влияние на модернизацию российской экономики: предусматривается значительное увеличение расходов на НИОКР, расходы на инновационное развитие (включая расходы на модернизацию производства) за период с 2011 года по 2013 год увеличатся более чем на 700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планами компаний реализация программ инновационного развития должна обеспечить рост производительности труда на 16,2 процента и энергоэффективности на 6,3 - 7 процентов за 2012 - 2013 гг. (к уровню 2011 года). Это вдвое превысит средние параметры по экономике. Экспорт несырьевой продукции и услуг может повыситься в 1,5 раза.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в 2011 году привела к интенсификации взаимодействия компаний с ведущими российскими вузами в исследовательской и образовательной сфере. Объемы финансирования вузовских НИОКР в 2011 году выросли в 1,9 раза по отношению к 2010 году. Запланированы масштабное переобучение персонала и расширение подготовки целевых студентов.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компаниями, реализующими программы, политики открытых инноваций стимулирует развитие трансфера технологий из сектора науки и образования в бизнес, развитие венчурного бизнеса, повышает результативность деятельности инновационных институтов развития, позволяет более эффективно развивать новые инструменты инновационной политики: технологические платформы и кластеры.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средств, выделяемых государственными компаниями на инновации, окажет мультипликативный эффект на стимулирование инновационной активности и уровень расходов на исследования и разработки в экономике за счет влияния двух факторов.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инновационности производимой государственными компаниями продукции будет стимулировать частные предприятия инвестировать в разработку новых технологий и модернизацию производства для сохранения уровня конкурентоспособности.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Возросший совокупный спрос на современные технологические решения будет способствовать соответствующему увеличению предложения, в том числе со стороны малых и средних предприятий, научных организаций и высших учебных заведений.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 контроль за достижением компаниями принятых на себя обязательств с одновременным обеспечением взаимодействия компаний с существующими и создаваемыми инструментами поддержки инновационной деятельности. Дополнительно будет реализовываться политика, нацеленная на реализацию государственными компаниями, находящимися в ведении субъектов Российской Федерации, активной инновационной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развитие деятельности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платформы являются важнейшим инструментом согласования приоритетов научно-технической политики между бизнесом, наукой и образованием. В этой связи государство будет учитывать сформированные технологическими платформами приоритеты в рамках имеющихся и разрабатываемых инструментов поддержки развития научных школ, формирования научно-технологического задела и софинансирования прикладных исследований. Следующим направлением развития деятельности технологических платформ будет являться обеспечение поддержки разработки технологическими платформами стратегических программ исследований, предусматривающих определение средне- и долгосрочных приоритетов в проведении исследований и разработок, выстраивание механизмов научно-производственной кооперации в увязке с соответствующими государственными программами Российской Федерации и отраслевыми стратегиями развития, а также призванных обеспечить формирование тематики работ и проектов технологической платформы в сфере исследований и разработок на доконкурентной стадии.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использованием преимущественно организационных механизмов будет обеспечена поддержка расширения присутствия технологических платформ на внутреннем и зарубежных рынках; участия технологических платформ в разработке технических регламентов и технологических стандартов; активизация взаимодействия с технологическими платформами ЕС и иными международными организациями; обеспечено содействие вовлечению технологических платформ в технологическую кооперацию с крупными компаниями малых и средних </w:t>
      </w:r>
      <w:r>
        <w:rPr>
          <w:rFonts w:ascii="Calibri" w:hAnsi="Calibri" w:cs="Calibri"/>
        </w:rPr>
        <w:lastRenderedPageBreak/>
        <w:t>высокотехнологичных предприятий, в том числе в рамках развития территориальных инновационных кластеров, и привлечение технологических платформ к разработке профессиональных и образовательных стандартов, а также развитию институтов непрерывного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проработаны вопросы взаимодействия с инновационным центром "Сколково".</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30" w:name="Par649"/>
      <w:bookmarkEnd w:id="30"/>
      <w:r>
        <w:rPr>
          <w:rFonts w:ascii="Calibri" w:hAnsi="Calibri" w:cs="Calibri"/>
        </w:rPr>
        <w:t>IX. Обоснования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финансовых ресурсов из средств федерального бюджета, предусмотренных в бюджете действующих обязательств (с учетом доведенных "потолков" по государственным программам Российской Федерации), в 2013 - 2020 годах составляет 958 391 115,20 тыс. рублей,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- 227 914 587,20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Росстат - 131 493 517,00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Росреестр - 356 327 607,3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- 133 170 271,00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Минкомсвязь России - 4 055 100,00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России - 7 557 300,00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 - 32 079 030,10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 России - 16 844 381,50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ФТС России - 9 356 080,00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ФСТ России - 5 894 287,70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аккредитации - 1 683 663,20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Роспатент - 21 526 487,20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ФНС России - 7 215 984,0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Росимущество - 3 272 819,0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финансирования настоящей государственной программы являются средства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финансовом обеспечении подпрограмм, основных мероприятий государственной программы по годам ее реализации представлены в </w:t>
      </w:r>
      <w:hyperlink w:anchor="Par10486" w:history="1">
        <w:r>
          <w:rPr>
            <w:rFonts w:ascii="Calibri" w:hAnsi="Calibri" w:cs="Calibri"/>
            <w:color w:val="0000FF"/>
          </w:rPr>
          <w:t>приложении N 6</w:t>
        </w:r>
      </w:hyperlink>
      <w:r>
        <w:rPr>
          <w:rFonts w:ascii="Calibri" w:hAnsi="Calibri" w:cs="Calibri"/>
        </w:rPr>
        <w:t xml:space="preserve">. Прогнозная оценка объемов финансового обеспечения реализации программных мероприятий из всех источников финансирования приведена в </w:t>
      </w:r>
      <w:hyperlink w:anchor="Par11724" w:history="1">
        <w:r>
          <w:rPr>
            <w:rFonts w:ascii="Calibri" w:hAnsi="Calibri" w:cs="Calibri"/>
            <w:color w:val="0000FF"/>
          </w:rPr>
          <w:t>приложении N 7</w:t>
        </w:r>
      </w:hyperlink>
      <w:r>
        <w:rPr>
          <w:rFonts w:ascii="Calibri" w:hAnsi="Calibri" w:cs="Calibri"/>
        </w:rPr>
        <w:t xml:space="preserve"> в разрезе подпрограмм по годам реализации настоящей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31" w:name="Par670"/>
      <w:bookmarkEnd w:id="31"/>
      <w:r>
        <w:rPr>
          <w:rFonts w:ascii="Calibri" w:hAnsi="Calibri" w:cs="Calibri"/>
        </w:rPr>
        <w:t>X. Анализ рисков реализации государственной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описание мер управления рисками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настоящей государственной программы подвержена влиянию следующих групп рисков и негативных факторов.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риски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российских компаний, и на достижении целевых показателей экономического развития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уровень таких рисков является умеренным. Минимизация влияния данных рисков возможна за счет обеспечения участия и повышения роли России в решении глобальных и региональных международных проблем, международных усилиях по поддержанию международного мира и безопасности, диверсификации рынков сбыта основных экспортных товаров, что предусматривается в рамках реализации государственных программ Российской Федерации "Внешнеполитическая </w:t>
      </w:r>
      <w:hyperlink r:id="rId52" w:history="1">
        <w:r>
          <w:rPr>
            <w:rFonts w:ascii="Calibri" w:hAnsi="Calibri" w:cs="Calibri"/>
            <w:color w:val="0000FF"/>
          </w:rPr>
          <w:t>деятельность</w:t>
        </w:r>
      </w:hyperlink>
      <w:r>
        <w:rPr>
          <w:rFonts w:ascii="Calibri" w:hAnsi="Calibri" w:cs="Calibri"/>
        </w:rPr>
        <w:t>" (ответственный исполнитель - МИД России) и "</w:t>
      </w:r>
      <w:hyperlink r:id="rId53" w:history="1">
        <w:r>
          <w:rPr>
            <w:rFonts w:ascii="Calibri" w:hAnsi="Calibri" w:cs="Calibri"/>
            <w:color w:val="0000FF"/>
          </w:rPr>
          <w:t>Развитие</w:t>
        </w:r>
      </w:hyperlink>
      <w:r>
        <w:rPr>
          <w:rFonts w:ascii="Calibri" w:hAnsi="Calibri" w:cs="Calibri"/>
        </w:rPr>
        <w:t xml:space="preserve"> внешнеэкономической деятельности" (ответственный исполнитель - Минэкономразвития России). Предусмотренные в рамках настоящей государственной программы мероприятия, направленные на диверсификацию российской экономики, переход от экспортно-</w:t>
      </w:r>
      <w:r>
        <w:rPr>
          <w:rFonts w:ascii="Calibri" w:hAnsi="Calibri" w:cs="Calibri"/>
        </w:rPr>
        <w:lastRenderedPageBreak/>
        <w:t>сырьевого к инновационному социально ориентированному типу развития, также будут способствовать минимизации данного риска.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настоящей государственной программы, направленных на стимулирование внедрения инноваций в российскую экономику.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настоящей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российская высокотехнологичная продукция может успешно конкурировать с наиболее развитыми аналогами, производимыми в зарубежных странах. Условием минимизации данного риска является и успешная реализация подпрограммы "Повышение эффективности функционирования естественных монополий и иных регулируемых организаций и развитие стимулирующего регулирования", которая призвана обеспечить конкурентное преимущество Российской Федерации в сфере тарифов на товары и услуги естественных монополий и, таким образом, снизить издержки российских производителей, повысить прозрачность ценообразования, обеспечить основу для долгосрочного планирования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сохраняющаяся 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настоящей государственной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настоящей государственной программы, объем и сроки реализации отдельных подпрограмм и основных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данного риска возможна на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приоритетной реализации направлений настоящей государственной программы, связанных со стимулированием диверсификации российской экономики, модернизации традиционных и развития новых секторов;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осуществления государственных инвестиций, обеспечение приоритетной поддержки инфраструктуры развития высокотехнологичных секторов экономики в рамках государственных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механизмов мониторинга и корректировок планов реализации государственных программ Российской Федерации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Четвертое - высокий уровень межрегиональных различий в развитии инфраструктуры, кадрового потенциала, качества государственных институтов может снизить общий эффект от предпринимаемых мер по стимулированию инвестиций и инноваций, повышению качества государственного управления, созданию благоприятной деловой среды в Российской Федерации в целом. Существующие различия обуславливают разный уровень финансовых возможностей субъектов Российской Федерации по поддержке реализации мероприятий настоящей государственной программы, а также качества государственных институтов в субъектах </w:t>
      </w:r>
      <w:r>
        <w:rPr>
          <w:rFonts w:ascii="Calibri" w:hAnsi="Calibri" w:cs="Calibri"/>
        </w:rPr>
        <w:lastRenderedPageBreak/>
        <w:t>Российской Федерации. Данный фактор риска усугубляется проблемами, связанными с недостаточным уровнем межведомственной и межуровневой координации органов государственной власти и местного самоуправления, избыточным вмешательством государства в деятельность хозяйствующих субъектов, снижающим предпринимательскую активность на местах. Поддержка отдельных приоритетных проектов в отдельных секторах экономики и в отдельных территориях в рамках настоящей государственной программы может привести к дальнейшему росту межрегиональных различий в качестве деловой и инвестиционной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данного риска возможна на основе обеспечения активного участия субъектов Российской Федерации в реализации настоящей государственной программы (прежде всего в рамках подпрограмм "</w:t>
      </w:r>
      <w:hyperlink w:anchor="Par1334" w:history="1">
        <w:r>
          <w:rPr>
            <w:rFonts w:ascii="Calibri" w:hAnsi="Calibri" w:cs="Calibri"/>
            <w:color w:val="0000FF"/>
          </w:rPr>
          <w:t>Развитие</w:t>
        </w:r>
      </w:hyperlink>
      <w:r>
        <w:rPr>
          <w:rFonts w:ascii="Calibri" w:hAnsi="Calibri" w:cs="Calibri"/>
        </w:rPr>
        <w:t xml:space="preserve"> малого и среднего предпринимательства" и "</w:t>
      </w:r>
      <w:hyperlink w:anchor="Par2888" w:history="1">
        <w:r>
          <w:rPr>
            <w:rFonts w:ascii="Calibri" w:hAnsi="Calibri" w:cs="Calibri"/>
            <w:color w:val="0000FF"/>
          </w:rPr>
          <w:t>Кадры</w:t>
        </w:r>
      </w:hyperlink>
      <w:r>
        <w:rPr>
          <w:rFonts w:ascii="Calibri" w:hAnsi="Calibri" w:cs="Calibri"/>
        </w:rPr>
        <w:t xml:space="preserve"> для инновационной экономики"), разработка и реализация аналогичных бюджетных целевых программ на уровне субъектов Российской Федерации в рамках развития системы стратегического управления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 инертность органов государственной власти и местного самоуправления, распространенность формального подхода к внедрению управленческих новаций, сохраняющийся высокий уровень коррупции могут привести к неполному достижению цели настоящей государственной программы по повышению эффективности государственного управления, а также снизить эффект от реализации других направлений государственной программы. Минимизации данного риска в рамках настоящей государственной программы будет способствовать реализация подпрограмм "</w:t>
      </w:r>
      <w:hyperlink w:anchor="Par1932" w:history="1">
        <w:r>
          <w:rPr>
            <w:rFonts w:ascii="Calibri" w:hAnsi="Calibri" w:cs="Calibri"/>
            <w:color w:val="0000FF"/>
          </w:rPr>
          <w:t>Совершенствование</w:t>
        </w:r>
      </w:hyperlink>
      <w:r>
        <w:rPr>
          <w:rFonts w:ascii="Calibri" w:hAnsi="Calibri" w:cs="Calibri"/>
        </w:rPr>
        <w:t xml:space="preserve"> государственного и муниципального управления" и "</w:t>
      </w:r>
      <w:hyperlink w:anchor="Par3196" w:history="1">
        <w:r>
          <w:rPr>
            <w:rFonts w:ascii="Calibri" w:hAnsi="Calibri" w:cs="Calibri"/>
            <w:color w:val="0000FF"/>
          </w:rPr>
          <w:t>Совершенствование</w:t>
        </w:r>
      </w:hyperlink>
      <w:r>
        <w:rPr>
          <w:rFonts w:ascii="Calibri" w:hAnsi="Calibri" w:cs="Calibri"/>
        </w:rPr>
        <w:t xml:space="preserve"> системы государственного стратегического планирования".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32" w:name="Par690"/>
      <w:bookmarkEnd w:id="32"/>
      <w:r>
        <w:rPr>
          <w:rFonts w:ascii="Calibri" w:hAnsi="Calibri" w:cs="Calibri"/>
        </w:rPr>
        <w:t>XI. Методика оценки эффективности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настоящей государственной программы проводится на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 приведенных в Приложении 1, по формуле: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9.5pt">
            <v:imagedata r:id="rId54" o:title=""/>
          </v:shape>
        </w:pict>
      </w:r>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75pt;height:18pt">
            <v:imagedata r:id="rId55" o:title=""/>
          </v:shape>
        </w:pict>
      </w:r>
      <w:r>
        <w:rPr>
          <w:rFonts w:ascii="Calibri" w:hAnsi="Calibri" w:cs="Calibri"/>
        </w:rPr>
        <w:t xml:space="preserve"> - степень достижения целей (решения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75pt;height:19.5pt">
            <v:imagedata r:id="rId56" o:title=""/>
          </v:shape>
        </w:pict>
      </w:r>
      <w:r>
        <w:rPr>
          <w:rFonts w:ascii="Calibri" w:hAnsi="Calibri" w:cs="Calibri"/>
        </w:rPr>
        <w:t xml:space="preserve"> - фактическое значение индикатора (показателя) 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25pt;height:18pt">
            <v:imagedata r:id="rId57" o:title=""/>
          </v:shape>
        </w:pict>
      </w:r>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108.75pt;height:19.5pt">
            <v:imagedata r:id="rId54" o:title=""/>
          </v:shape>
        </w:pict>
      </w:r>
      <w:r>
        <w:rPr>
          <w:rFonts w:ascii="Calibri" w:hAnsi="Calibri" w:cs="Calibri"/>
        </w:rPr>
        <w:t xml:space="preserve"> (для индикаторов (показателей), желаемой тенденцией развития которых является снижение значений);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подпрограмм, представленных в Приложении 6, и сопоставления фактических и плановых объемов финансирования подпрограмм, представленных в Приложении 7, из всех источников ресурсного обеспечения в целом (федеральный бюджет, консолидированные бюджеты субъектов Российской Федерации, внебюджетные источники), по формуле: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18.5pt;height:19.5pt">
            <v:imagedata r:id="rId58" o:title=""/>
          </v:shape>
        </w:pict>
      </w:r>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8pt;height:19.5pt">
            <v:imagedata r:id="rId59" o:title=""/>
          </v:shape>
        </w:pict>
      </w:r>
      <w:r>
        <w:rPr>
          <w:rFonts w:ascii="Calibri" w:hAnsi="Calibri" w:cs="Calibri"/>
        </w:rPr>
        <w:t xml:space="preserve"> - уровень финансирования реализации основных мероприятий государственной программы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8pt;height:19.5pt">
            <v:imagedata r:id="rId60" o:title=""/>
          </v:shape>
        </w:pict>
      </w:r>
      <w:r>
        <w:rPr>
          <w:rFonts w:ascii="Calibri" w:hAnsi="Calibri" w:cs="Calibri"/>
        </w:rPr>
        <w:t xml:space="preserve"> - фактический объем финансовых ресурсов, направленный на реализацию мероприятий государственной программы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8pt;height:18pt">
            <v:imagedata r:id="rId61" o:title=""/>
          </v:shape>
        </w:pict>
      </w:r>
      <w:r>
        <w:rPr>
          <w:rFonts w:ascii="Calibri" w:hAnsi="Calibri" w:cs="Calibri"/>
        </w:rPr>
        <w:t xml:space="preserve"> - плановый объем финансовых ресурсов на реализацию государственной программы (подпрограммы) на соответствующий отчетный период;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очередного года реализации настоящей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(индикатора), при которых реализация государственной программы характеризуется: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 уровнем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удовлетворительным уровнем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неудовлетворительным уровнем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граница интервала значений показателя (индикатора) для целей отнесения настоящей государственной программы к высокому уровню эффективности определяется значением, соответствующим 95-процентному плановому приросту показателя (индикатора)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чем значение, соответствующее 75-процентному плановому приросту значения показателя на соответствующий год.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настоящей государственной программы проводится ответственным исполнителем ежегодно до 1 марта года, следующего за отчетным.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государственная программа считается реализуемой с высоким уровнем эффективности, если: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95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реализации основных мероприятий государственной программы (</w:t>
      </w:r>
      <w:r>
        <w:rPr>
          <w:rFonts w:ascii="Calibri" w:hAnsi="Calibri" w:cs="Calibri"/>
          <w:position w:val="-14"/>
        </w:rPr>
        <w:pict>
          <v:shape id="_x0000_i1034" type="#_x0000_t75" style="width:18pt;height:19.5pt">
            <v:imagedata r:id="rId59" o:title=""/>
          </v:shape>
        </w:pict>
      </w:r>
      <w:r>
        <w:rPr>
          <w:rFonts w:ascii="Calibri" w:hAnsi="Calibri" w:cs="Calibri"/>
        </w:rPr>
        <w:t>) составил не менее 95 процентов, уровень финансирования реализации основных мероприятий всех подпрограмм государственной программы составил не менее 90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95 процентов мероприятий, запланированных на отчетный год, выполнены в полном объеме.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государственная программа считается реализуемой с удовлетворительным уровнем эффективности, если: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80 процентов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реализации основных мероприятий государственной программы (</w:t>
      </w:r>
      <w:r>
        <w:rPr>
          <w:rFonts w:ascii="Calibri" w:hAnsi="Calibri" w:cs="Calibri"/>
          <w:position w:val="-14"/>
        </w:rPr>
        <w:pict>
          <v:shape id="_x0000_i1035" type="#_x0000_t75" style="width:18pt;height:19.5pt">
            <v:imagedata r:id="rId59" o:title=""/>
          </v:shape>
        </w:pict>
      </w:r>
      <w:r>
        <w:rPr>
          <w:rFonts w:ascii="Calibri" w:hAnsi="Calibri" w:cs="Calibri"/>
        </w:rPr>
        <w:t>) составил не менее 70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процентов мероприятий, запланированных на отчетный год, выполнены в полном объеме.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настоящей государственной программы не отвечает приведенным выше критериям, уровень эффективности ее реализации признается неудовлетворительным.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1"/>
        <w:rPr>
          <w:rFonts w:ascii="Calibri" w:hAnsi="Calibri" w:cs="Calibri"/>
        </w:rPr>
      </w:pPr>
      <w:bookmarkStart w:id="33" w:name="Par727"/>
      <w:bookmarkEnd w:id="33"/>
      <w:r>
        <w:rPr>
          <w:rFonts w:ascii="Calibri" w:hAnsi="Calibri" w:cs="Calibri"/>
        </w:rPr>
        <w:t>XII. Подпрограммы государственной программы и федеральные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программы (паспорта федеральных целевых программ)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4" w:name="Par730"/>
      <w:bookmarkEnd w:id="34"/>
      <w:r>
        <w:rPr>
          <w:rFonts w:ascii="Calibri" w:hAnsi="Calibri" w:cs="Calibri"/>
        </w:rPr>
        <w:lastRenderedPageBreak/>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благоприятной инвестиционной среды"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5" w:name="Par733"/>
      <w:bookmarkEnd w:id="35"/>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благоприятной инвестиционной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среды" государственной программы Российской Федерации</w:t>
      </w:r>
    </w:p>
    <w:p w:rsidR="00C65754" w:rsidRDefault="00C65754" w:rsidP="008C77ED">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"Экономическое развитие и инновационная экономика"</w:t>
      </w:r>
    </w:p>
    <w:p w:rsidR="008C77ED" w:rsidRPr="008C77ED" w:rsidRDefault="008C77ED" w:rsidP="008C77ED">
      <w:pPr>
        <w:widowControl w:val="0"/>
        <w:autoSpaceDE w:val="0"/>
        <w:autoSpaceDN w:val="0"/>
        <w:adjustRightInd w:val="0"/>
        <w:spacing w:after="0" w:line="240" w:lineRule="auto"/>
        <w:jc w:val="center"/>
        <w:rPr>
          <w:rFonts w:ascii="Calibri" w:hAnsi="Calibri" w:cs="Calibri"/>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3"/>
        <w:gridCol w:w="266"/>
        <w:gridCol w:w="6450"/>
      </w:tblGrid>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антимонопольная служба</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привлечения инвестиций в экономику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конкурентной среды</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привлечение долгосрочных прямых иностранных инвестиций;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корпоративного 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особых экономических зон в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федеральной контрактной системы</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 млрд. долларов США;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эффективность предоставления налоговых льгот (по опросам налогоплательщиков),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особых экономических зон, млрд.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 созданных резидентами особых экономических зон,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оценке регулирующего воздействия с количественными оценками,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проектов актов, по которым в рамках оценки регулирующего воздействия разработчиками была проведена оценка альтернатив,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контрактов (в стоимостном выражении), заключенных с </w:t>
            </w:r>
            <w:r>
              <w:rPr>
                <w:rFonts w:ascii="Calibri" w:hAnsi="Calibri" w:cs="Calibri"/>
              </w:rPr>
              <w:lastRenderedPageBreak/>
              <w:t>единственным поставщиком по результатам несостоявшихся конкурентных процедур определения поставщика (подрядчика, исполнителя),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бюджетных ассигнований подпрограммы</w:t>
            </w:r>
          </w:p>
        </w:tc>
        <w:tc>
          <w:tcPr>
            <w:tcW w:w="2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50" w:type="dxa"/>
            <w:vAlign w:val="center"/>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82 356 503,60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- 9 825 885,00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- 16 862 448,50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- 12 259 993,80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- 9 060 029,70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- 9 476 032,00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- 8 209 173,30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- 8 291 089,50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- 8 371 851,80 тыс. рублей</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выражении: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прямых иностранных инвестиций в российскую экономику, а также доли прямых иностранных инвестиций в российской экономике к ВВП (с 2,28 процента к ВВП в 2012 году до 4 процентов ВВП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объема инвестиций резидентов особых экономических зон более чем в 2,6 раза (по сравнению с 2010 годом);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количества новых предприятий на 1000 чел. (New business density) с 2,6 в 2012 году до 5,4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рабочих мест, созданных резидентами особых экономических зон с 8215 в 2012 году до 21050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качественном выражении: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улучшен инвестиционный имидж и условия ведения бизнеса в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привлечены дополнительные финансовые ресурсы для инвестиций в основные фонды;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повышено качество налогового законодательства;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осуществлена единая согласованная экономическая политика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осуществлена государственная поддержка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проведена эффективная государственная политика в области контроля иностранных инвестиций в хозяйствующие общества, имеющие стратегическое значение для обеспечения обороны страны и безопасности государства;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создана система оценки состояния конкурентной среды в </w:t>
            </w:r>
            <w:r>
              <w:rPr>
                <w:rFonts w:ascii="Calibri" w:hAnsi="Calibri" w:cs="Calibri"/>
              </w:rPr>
              <w:lastRenderedPageBreak/>
              <w:t>Российской Федерации, включая систему оценки конкурентной среды в субъектах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 всем заинтересованным лицам равный открытый доступ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сформирована федеральная контрактная система в сфере закупок товаров, работ и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осуществлена защита потребителей и участников рынков от необоснованных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осуществлена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 и создание условий для развития конкуренции в сферах деятельности субъектов естественных монополий.</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6" w:name="Par812"/>
      <w:bookmarkEnd w:id="36"/>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определены задачи по переходу экономики на инновационный путь развития, по выведению страны в число ведущих мировых экономик с высоким уровнем благосостояния, развитой инфраструктурой, долей высокотехнологичного сектора в ВВП страны не менее 17 - 20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реализации данных задач являются масштабные инвестиции в производства, в новые технологии, в обучение. Однако инвестиционные процессы в российской экономике остаются недостаточно активными для ее структурной модернизации. Текущий уровень инвестиций к ВВП страны составляет около 20 процентов против необходимых 30 процентов от ВВП. Недостаток собственных долгосрочных денежных ресурсов, необходимых для запуска долгосрочных инвестиционных проектов, сдерживает модернизацию и диверсификацию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привлечение иностранных инвесторов к реализации проектов на территории России является определяющим условием успешной модернизации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ограничения бюджетных средств прямые иностранные инвестиции - один из главных финансовых источников модернизации.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сотрудничества с иностранными инвесторами являются: создание производств полного цикла, размещение на территории России наукоемких производств с иностранным участием, обеспечение возможности передачи новейших технологий и разработок, размещение на территории России конструкторских и исследовательских подразделений иностранных компаний. Активное участие иностранных инвесторов в модернизации российской экономики имеет двусторонний взаимовыгодный эффект: Россия получает доступ к передовым технологиям и разработкам, иностранные компании получают доступ к высокорентабельному объемному рынку.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развития исследований и разработок и коммерциализации их результатов создан инновационный центр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проекта предоставляются: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налоговый режим (налог на прибыль - 0 процентов в течение 10 лет; НДС - освобождение от налогообложения в течение 10 лет (по выбору налогоплательщика); налог на имущество организаций - 0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ставки обязательных страховых взносов - 14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налога на имущество организаций и земельного налога;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льготный порядок привлечения на работу иностранных граждан;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упрощенная система выдачи земельных участков, строительства;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таможенного брокера (представителя) в отношении товаров (за исключением подакцизных товаров), ввозимых для осуществления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за последние годы произошли существенные изменения, которые позволяют говорить о политической и макроэкономической стабильности. В результате реформы налогового законодательства совершенствуются механизмы налогового администрирования. Упрощены и упорядочены процедуры возмещения НДС. Снижена до 20 процентов ставка корпоративного налога на прибыль. Принят ряд изменений в налоговое законодательство, направленных на стимулирование вложений в развитие "человеческого капитала", введена 30-процентная амортизационная премия для активной части основных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несколько лет назад была проведена либерализация валютного законодательства, в результате чего практически сняты ограничения по перемещению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Снижены административные барьеры. В результате принятых мер с 500 до 74 сокращено число лицензируемых видов деятельности. Внесены изменения в законодательство, направленные на обеспечение защиты прав субъектов малого бизнеса предпринимательства при осуществлении государственного контроля и надзора.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Установлены четкие и прозрачные процедуры допуска иностранных инвесторов в стратегические отрасли. Внесены изменения в корпоративное законодательство, позволяющие заключать акционерные соглашения, а также направленные на предотвращение рейдерства.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Планами мероприятий по реализации мер, направленными на совершенствование инвестиционного климата и повышение инвестиционной активности в российской экономике (утверждены Первым заместителем Председателя Правительства Российской Федерации И.И. Шуваловым - от 16 ноября 2011 г. N ИШ-П13-8090 и от 1 июня 2010 г. N 3414п-П13) достигнуты описанные ниже ключевые результаты. Однако в настоящее время разрабатывается новый комплекс мер, направленных на радикальное улучшение условий предпринимательской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за период с июля 2012 г. по июль 2013 г. утверждены "дорожные карты" по 9 направлениям, имеющим наиболее важное значение для бизнеса: упрощение процедур получения разрешения на строительство, повышение доступности энергетической инфраструктуры, таможенное администрирование и поддержка доступа на рынки зарубежных стран, развитие конкуренции, повышение качества регуляторной среды для бизнеса, упрощение регистрации прав собственности и оптимизация процедур регистрации юридических лиц и индивидуальных предпринимателей, расширение доступа субъектов малого и среднего предпринимательства к закупкам инфраструктурных монополий и компаний с государственным участием. Продолжается разработка других "дорожных карт", в том числе направленных на совершенствование налогового администрирования и оценочной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активной государственной политики по улучшению условий ведения бизнеса достигнуты следующие важные результаты.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Важнейшим шагом к улучшению инвестиционного климата является упрощение строительных процедур.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 заключение организации негосударственной экспертизы является достаточным основанием для получения разрешения на строительство (за исключением уникальных, технически сложных и особо опасных объектов).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улучшения предпринимательского климата в сфере строительства, в том числе упрощения и усовершенствования административных процедур на всех стадиях осуществления строительства, начиная от стадии подготовки градостроительной документации и заканчивая вводом в эксплуатацию объектов капитального строительства, утвержден </w:t>
      </w:r>
      <w:hyperlink r:id="rId63" w:history="1">
        <w:r>
          <w:rPr>
            <w:rFonts w:ascii="Calibri" w:hAnsi="Calibri" w:cs="Calibri"/>
            <w:color w:val="0000FF"/>
          </w:rPr>
          <w:t>план</w:t>
        </w:r>
      </w:hyperlink>
      <w:r>
        <w:rPr>
          <w:rFonts w:ascii="Calibri" w:hAnsi="Calibri" w:cs="Calibri"/>
        </w:rPr>
        <w:t xml:space="preserve"> мероприятий ("дорожная карта") "Улучшение предпринимательского климата в сфере строительства" (распоряжение Правительства Российской Федерации от 16 августа 2012 г. N 1487-р).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указанного плана мероприятий ожидается достижение следующих показателей: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процедур, необходимых для получения разрешения на строительство к 2018 году планируется сокращение с 51 процедуры до 11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времени прохождения всех стадий процедур получения разрешения на строительство к 2018 году планируется сокращение с 423 дней до 56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затрат, необходимых для получения разрешения на строительство (процентов внутреннего валового продукта на душу населения), к 2018 году планируется сокращение со 184 процентов до 101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плана мероприятий запланирована реализация мероприятий по следующим приоритетным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формирования земельных участков и разработка градостроительной документации;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комплексного освоения территорий;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сроков и количества согласований и разрешений;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системы технического регулирования и оптимизация системы надзора в строительной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рынка арендного жилья.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Инфраструктурные ограничения остаются одним из наиболее существенных негативных факторов, оказывающих влияние на инвестиционный климат в стране.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улучшения ситуации, начиная с 2009 года, реализуются мероприятия, направленные на радикальное совершенствование ситуации в этой сфере. Так, только в 2011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формы типовых договоров технологического присоединения к электросетям для потребителей с мощностью до 750 кВА;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пересмотрена методика по определению размера платы за технологическое присоединение исходя из запрета на включение в состав указанной платы инвестиционной составляющей на расширение существующих электросетей, что позволило существенно снизить тарифы на технологическое присоединение к электрическим сетям;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административная ответственность за основные нарушения в сфере присоединения к электрическим сетям и подключения к сетям инженерно-технического обеспечения: несоответствие предлагаемого потребителю проекта договора требованиям законодательства; нарушение сроков представления потребителю проекта договора на подключение к инфраструктурным сетям; необоснованный отказ потребителю в заключении договора. Размер этих штрафов может доходить до 1 млн. рублей для поставщиков соответствующих услуг и до 50 тыс. рублей - для их должностных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работы достигнуты следующие результаты.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технологическое присоединение к электросетям для потребителей до 15 Киловатт (около 85 процентов подаваемых заявок на подключение) снижен с 7 тыс. рублей (в среднем) до 550 рублей. С 1 января 2011 г. тарифы на подключение к распределительным электрическим сетям снизились для остальных потребителей в среднем на 30 - 50 процентов. В частности в г. Москве с 102 тыс. рублей до 16,7 тыс. рублей (на 83 процента), в г. Санкт-Петербурге с 44 тыс. рублей до 11 тыс. рублей (на 75 процентов). Тариф (плата) на технологическое присоединение к электрическим сетям ОАО "ФСК ЕЭС" в 2011 году составил менее 100 рублей за киловатт присоединяемой мощности.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фактических присоединений к электрическим сетям увеличилось в 2011 году в 2 раза по сравнению с 2008 годом с 87 тысяч до 168 тысяч, количество заключенных договоров на присоединение к электрическим сетям увеличилось до 273 тысяч (прирост к 2008 году 105 процентов). При этом в 2011 году на 1000 поступивших заявок заключено около 840 договоров на присоединение к электрической сети (в 2008 году - около 780).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400 мегаватт присоединенной мощности ежегодно перераспределяется с 2010 года потребителями между собой, что позволяет присоединиться к электрическим сетям в условиях отсутствия возможности для присоединения у сетевых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10 тысяч потребителей, которые ранее были присоединены к электрическим сетям, но утратили документы о технологическом присоединении, ежегодно с 2010 года, восстанавливают соответствующую документацию.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компании раскрывают на собственных официальных web-сайтах информацию о технологическом присоединении к электрическим сетям (в том числе сведения о свободных мощностях и статистику получаемых заявок и заключаемых договоров).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64" w:history="1">
        <w:r>
          <w:rPr>
            <w:rFonts w:ascii="Calibri" w:hAnsi="Calibri" w:cs="Calibri"/>
            <w:color w:val="0000FF"/>
          </w:rPr>
          <w:t>план</w:t>
        </w:r>
      </w:hyperlink>
      <w:r>
        <w:rPr>
          <w:rFonts w:ascii="Calibri" w:hAnsi="Calibri" w:cs="Calibri"/>
        </w:rPr>
        <w:t xml:space="preserve"> подготовки нормативных правовых актов, направленных на повышение доступности энергетической инфраструктуры (распоряжение Правительства Российской Федерации от 6 мая 2012 г. N 754-р) и </w:t>
      </w:r>
      <w:hyperlink r:id="rId65" w:history="1">
        <w:r>
          <w:rPr>
            <w:rFonts w:ascii="Calibri" w:hAnsi="Calibri" w:cs="Calibri"/>
            <w:color w:val="0000FF"/>
          </w:rPr>
          <w:t>план</w:t>
        </w:r>
      </w:hyperlink>
      <w:r>
        <w:rPr>
          <w:rFonts w:ascii="Calibri" w:hAnsi="Calibri" w:cs="Calibri"/>
        </w:rPr>
        <w:t xml:space="preserve"> мероприятий ("дорожная карта") "Повышение доступности энергетической инфраструктуры" (распоряжение Правительства Российской Федерации от 30 июня 2012 г. N 1144-р).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"дорожной карты" позволит существенно уменьшить количество этапов присоединения (с 10 до 5), сократить время на прохождение всех этапов по получению доступа к энергосети (с 281 до 40 дней), а также снизить затраты на получение доступа к энергосети (с 1852 до 25 процентов ВВП на душу населения) к 2018 году. Реализация мероприятий "дорожной карты" будет осуществляться с 2012 по 2017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"дорожной карты" будут реализовываться мероприятия, направленные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правил технологического присоединения к энергосетям и создание условий сокращения сроков и этапов технологического присоединения;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перераспределения свободной мощности;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тарифов на технологическое присоединение;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деятельности сетевых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единых стандартов раскрытия информации по технологическому присоединению;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существующих ресурсов сетевых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стимулирования привлечения в национальную экономику высококвалифицированных иностранных специалистов в миграционное законодательство введено определение данной категории иностранных граждан и для них предусмотрены (Федеральный </w:t>
      </w:r>
      <w:hyperlink r:id="rId66" w:history="1">
        <w:r>
          <w:rPr>
            <w:rFonts w:ascii="Calibri" w:hAnsi="Calibri" w:cs="Calibri"/>
            <w:color w:val="0000FF"/>
          </w:rPr>
          <w:t>закон</w:t>
        </w:r>
      </w:hyperlink>
      <w:r>
        <w:rPr>
          <w:rFonts w:ascii="Calibri" w:hAnsi="Calibri" w:cs="Calibri"/>
        </w:rPr>
        <w:t xml:space="preserve"> от 19 мая 2010 г.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 одного месяца до 14 дней срока получения разрешения на работу;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максимальных сроков действия виз и разрешений на работу с одного года до трех лет с возможностью продления;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квоты на выдачу приглашений на въезд в целях осуществления трудовой деятельности и на выдачу разрешений на работу, а также разрешений для работодателей на привлечение и использование иностранного работника;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разрешения на работу в нескольких регионах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резидента и уплата НДФЛ по ставке 13 процентов (вместо 30 процентов) с первого дня работы по контракту;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вида на жительство в упрощенном порядке.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иностранных граждан упрощены процедуры миграционного учета, увеличен с 3 до 7 дней срок постановки на учет. Для высококвалифицированных иностранных специалистов этот срок увеличен до 90 и 30 дней при въезде в страну и перемещениях внутри страны (федеральные законы от 23 декабря 2010 г. </w:t>
      </w:r>
      <w:hyperlink r:id="rId67"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и от 20 марта 2011 г. </w:t>
      </w:r>
      <w:hyperlink r:id="rId68" w:history="1">
        <w:r>
          <w:rPr>
            <w:rFonts w:ascii="Calibri" w:hAnsi="Calibri" w:cs="Calibri"/>
            <w:color w:val="0000FF"/>
          </w:rPr>
          <w:t>N 42-ФЗ</w:t>
        </w:r>
      </w:hyperlink>
      <w:r>
        <w:rPr>
          <w:rFonts w:ascii="Calibri" w:hAnsi="Calibri" w:cs="Calibri"/>
        </w:rPr>
        <w:t xml:space="preserve"> "О внесении изменений в Федеральный закон "О миграционном учете иностранных граждан и лиц без гражданства в Российской Федерации" и отдельные законодательные акты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получения статуса высококвалифицированного иностранного специалиста является доход не менее 2 млн. рублей в расчете на год. Наличие опыта работы, навыков или достижений в конкретной области деятельности указанного специалиста определяет работодатель.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приоритетности и специфики сфер, где требуются высококвалифицированные специалисты, указанный размер дохода снижен: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млн. рублей для преподавателей и научных сотрудников вузов и научных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700 тыс. рублей для иностранных граждан, привлекаемых резидентами технико-внедренческих особых экономических зон, и до 1 млн. рублей за год для остальных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критериев по размеру годового дохода иностранные специалисты привлекаются для реализации проекта "Сколково" (федеральные законы от 23 декабря 2010 г. </w:t>
      </w:r>
      <w:hyperlink r:id="rId69" w:history="1">
        <w:r>
          <w:rPr>
            <w:rFonts w:ascii="Calibri" w:hAnsi="Calibri" w:cs="Calibri"/>
            <w:color w:val="0000FF"/>
          </w:rPr>
          <w:t>N 385-ФЗ</w:t>
        </w:r>
      </w:hyperlink>
      <w:r>
        <w:rPr>
          <w:rFonts w:ascii="Calibri" w:hAnsi="Calibri" w:cs="Calibri"/>
        </w:rPr>
        <w:t xml:space="preserve"> "О внесении изменений в отдельные законодательные акты Российской Федерации" и от 30 ноября 2011 г. </w:t>
      </w:r>
      <w:hyperlink r:id="rId70" w:history="1">
        <w:r>
          <w:rPr>
            <w:rFonts w:ascii="Calibri" w:hAnsi="Calibri" w:cs="Calibri"/>
            <w:color w:val="0000FF"/>
          </w:rPr>
          <w:t>N 365-ФЗ</w:t>
        </w:r>
      </w:hyperlink>
      <w:r>
        <w:rPr>
          <w:rFonts w:ascii="Calibri" w:hAnsi="Calibri" w:cs="Calibri"/>
        </w:rPr>
        <w:t xml:space="preserve"> "О внесении изменений в Федеральный закон "Об особых экономических зонах в Российской Федерации" и отдельные законодательные акты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привлекать без разрешений на работу преподавателей и научных работников для осуществления научной деятельности в вузах, научных и инновационных организациях (</w:t>
      </w:r>
      <w:hyperlink r:id="rId7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привлечения высококвалифицированных специалистов нарастает, она примерно соответствует динамике привлечения иностранных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2010 г. по 31 декабря 2012 г. высококвалифицированным специалистам было оформлено 25704 разрешений на работу.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Эффективность таможенного администрирования является одним из факторов, влияющих на оценку условий ведения бизнеса участниками внешнеторговой деятельности. С 1 июля 2010 г. вступил в действие Таможенный </w:t>
      </w:r>
      <w:hyperlink r:id="rId72" w:history="1">
        <w:r>
          <w:rPr>
            <w:rFonts w:ascii="Calibri" w:hAnsi="Calibri" w:cs="Calibri"/>
            <w:color w:val="0000FF"/>
          </w:rPr>
          <w:t>кодекс</w:t>
        </w:r>
      </w:hyperlink>
      <w:r>
        <w:rPr>
          <w:rFonts w:ascii="Calibri" w:hAnsi="Calibri" w:cs="Calibri"/>
        </w:rPr>
        <w:t xml:space="preserve"> Таможенного союза, закрепивший основные нормы таможенного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выпуска товаров сокращен до 1 дня;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25 до 7 сокращено количество документов для экспорта несырьевых товаров;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20 процентов (с 50 до 40 млн. рублей) снижен объем финансовых гарантий для таможенного представителя, а для таможенного перевозчика на 60 процентов (с 20 до 8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таможенных платежей увеличен с 15 дней до 4 месяцев.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Таможенного </w:t>
      </w:r>
      <w:hyperlink r:id="rId73" w:history="1">
        <w:r>
          <w:rPr>
            <w:rFonts w:ascii="Calibri" w:hAnsi="Calibri" w:cs="Calibri"/>
            <w:color w:val="0000FF"/>
          </w:rPr>
          <w:t>кодекса</w:t>
        </w:r>
      </w:hyperlink>
      <w:r>
        <w:rPr>
          <w:rFonts w:ascii="Calibri" w:hAnsi="Calibri" w:cs="Calibri"/>
        </w:rPr>
        <w:t xml:space="preserve"> в ноябре 2010 г. был принят </w:t>
      </w:r>
      <w:hyperlink r:id="rId74"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 которым: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 перечень документов, которые могут быть затребованы таможенными органами для экспорта и импорта;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до 4 часов сокращен срок выпуска несырьевых товаров, количество необходимых документов сокращено с 14 до 7;</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 ввоз и вывоз научных коммерческих образцов;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установлена фиксированная стоимость (5000 рублей) для не облагаемых ввозными пошлинами товаров, вне зависимости от их стоимости;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 перечень оснований для продления с 1 до 10 дней срока выпуска товаров;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возможность поставки товаров в производство получателем груза до завершения таможенного оформления.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улучшения инвестиционного климата в Российской Федерации, упрощения порядка перемещения товаров и транспортных средств через таможенную границу Таможенного союза при их ввозе в Российскую Федерацию и вывозе из Российской Федерации принято распоряжение Правительства Российской Федерации от 29 июня 2012 г. N 1125-р </w:t>
      </w:r>
      <w:hyperlink r:id="rId75" w:history="1">
        <w:r>
          <w:rPr>
            <w:rFonts w:ascii="Calibri" w:hAnsi="Calibri" w:cs="Calibri"/>
            <w:color w:val="0000FF"/>
          </w:rPr>
          <w:t>план</w:t>
        </w:r>
      </w:hyperlink>
      <w:r>
        <w:rPr>
          <w:rFonts w:ascii="Calibri" w:hAnsi="Calibri" w:cs="Calibri"/>
        </w:rPr>
        <w:t xml:space="preserve"> мероприятий ("дорожная карта") "Совершенствование таможенного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позволит существенно уменьшить количество документов, требуемых для пропуска товара через границу по импорту (со 10 до 4) и по экспорту (с 8 до 4), сократить время подготовки документов, необходимых для прохождения всех процедур, связанных с перемещением товара через границу (с 25 до 7 дней), а также снизить срок прохождения таможенных операций и таможенных процедур для товаров, которые не подлежат дополнительным видам государственного контроля по импорту (с 96 до 2 часов) и экспорту (с 72 до 2 часов) к 2018 году. Реализация мероприятий "дорожной карты" будет осуществляться с 2012 года по 2018 год.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"дорожной карты" запланирована реализация мероприятий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таможенных операций;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совершенствование межведомственного взаимодействия, сокращение сроков подготовки и получения документов;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уплаты таможенных платежей;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таможенного контроля;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механизмов контроля таможенной стоимости;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таможенных представителей;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специальных упрощений для уполномоченных экономических операторов;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мотивации должностных лиц таможенных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административной ответственности за нарушение таможенных правил;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размещения таможенных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реализованным мерам налоговой политики, направленным на стимулирование инвестиций в модернизацию и инновационное развитие экономики можно отнести следующие: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числу общих мер: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снижена ставка налога на прибыль с 24 до 20 процентов. Данная мера являлась одной из антикризисных мер и была направлена на уменьшение налоговой нагрузки организаций, в частности, в связи с повышением страховых взносов;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предельная величина процентов по долговым обязательствам, признаваемых расходом для целей налога на прибыль;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освобождены от налога на прибыль доходы от реализации акций (долей) в некотируемых на бирже компаниях при условии владения такими акциями (долями) свыше 5 лет;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освобождены от налога на прибыль организации, осуществляющие деятельность в области образования и здравоохранения;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Налоговый </w:t>
      </w:r>
      <w:hyperlink r:id="rId76" w:history="1">
        <w:r>
          <w:rPr>
            <w:rFonts w:ascii="Calibri" w:hAnsi="Calibri" w:cs="Calibri"/>
            <w:color w:val="0000FF"/>
          </w:rPr>
          <w:t>кодекс</w:t>
        </w:r>
      </w:hyperlink>
      <w:r>
        <w:rPr>
          <w:rFonts w:ascii="Calibri" w:hAnsi="Calibri" w:cs="Calibri"/>
        </w:rPr>
        <w:t xml:space="preserve"> Российской Федерации в части совершенствования принципов определения цен для целей налогообложения (трансфертные цены);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правила создания и функционирования консолидированных групп налогоплательщиков, предусмотрено установление особого порядка исчисления и уплаты налога на прибыль организаций для таких групп, позволяющего создать ряд преимуществ, как для налогоплательщиков, так и для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стимулирования инвестиций в человеческий капитал расширен перечень затрат работодателей на обучение сотрудников (налог на прибыль, НДФЛ) с целью стимулирования работодателей к повышению уровня профессиональной подготовки сотрудников;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поддержки инвестиций в НИОКР: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повышающий коэффициент 1,5 в части учета затрат на НИОКР (в том числе не давшим положительного результата) для целей налога на прибыль по перечню направлений таких НИОКР (32 направления) с целью стимулирования проведения научных исследований в приоритетных для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перечень расходов на НИОКР в целях стимулирования проведения налогоплательщиками научных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сохранения оборотных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ускоренный (заявительный) порядок возмещения НДС в целях совершенствования процедуры возмещения НДС;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вычет НДС с авансов. Данная мера направлена на снижение налоговой нагрузки на предприятия с длительным циклом производства и гармонизации правил исчисления НДС с Европейским союзом;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поддержки инвестиций в основные средства: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 от НДС ввоз технологического оборудования (по перечню), не имеющего аналогов в РФ, в целях стимулирования технологического перевооружения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увеличена до 30 процентов амортизационная премия для основных средств 3 - 7 группы (срок полезного использования 3 - 20 лет) с целью модернизации производства;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специальный повышающий коэффициент (не более 3) в отношении амортизируемых основных средств, используемых только для научно-технической деятельности. Данная мера способствует модернизации производства, а также направлена на стимулирование проведения научных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освобождено от налога на имущество организаций энергоэффективное оборудование сроком на 3 года с момента ввода в эксплуатацию с целью стимулирования модернизации производства на основе энергоэффективных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налог на имущество организаций в отношении имущества, принятого к учету в качестве основных средств с 1 января 2013 г. в целях стимулирования их к инвестированию в обновление и модернизацию производственных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поддержки малого и среднего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отменен критерий для перехода на упрощенную систему налогообложения хозяйственных обществ, учрежденных бюджетными научными и образовательными учреждениями с целью практического применения (внедрения) результатов интеллектуальной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выделена в самостоятельный специальный налоговый режим патентная система налогообложения, внесены изменения в упрощенную систему налогообложения, единый сельскохозяйственный налог, единый налог на вмененный доход в целях упрощения перехода на них организаций и индивидуальных предпринимателей, совершенствования порядка исчисления и уплаты налогов;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малых инновационных компаний установлены льготные ставки обязательных страховых взносов для хозяйственных обществ, созданных бюджетными научными учреждениями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и образовательными учреждениями высшего профессионального образования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 высшем и послевузовском профессиональном образовании", применяющих упрощенную систему налогообложения (14 процентов на 2011 - </w:t>
      </w:r>
      <w:r>
        <w:rPr>
          <w:rFonts w:ascii="Calibri" w:hAnsi="Calibri" w:cs="Calibri"/>
        </w:rPr>
        <w:lastRenderedPageBreak/>
        <w:t>2017 годы, 21 процент в 2018 году и 28 процентов в 2019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IT-компаний установлены льготные ставки обязательных страховых взносов для IT-компаний, отвечающих определенным критериям (14 процентов на 2010 - 2017 годы, 21 процент в 2018 году и 28 процентов в 2019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инжиниринговых компаний предоставлены льготные ставки тарифов обязательных страховых взносов на период 2012 - 2013 годов;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резидентов технико-внедренческой особой экономической зоны установлены льготные ставки обязательных страховых взносов для резидентов технико-внедренческой особой экономической зоны и инновационных компаний, создаваемых при вузах (14 процентов на 2011 - 2017 годы, 21 процент в 2018 году и 28 процентов в 2019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участников проекта "Сколково" предусмотрены следующие льготы: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прибыль по ставке 0 процентов (ограничение на продолжительность налоговых каникул - прибыльность компаний-резидентов: пользование льготой прекратится, когда объем выручки превысит 1 млрд. рублей, а размер накопленной за время деятельности прибыли - 300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добавленную стоимость - предусмотрено освобождение от налогообложения по выбору налогоплательщика;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организаций - по ставке 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страховые взносы (совокупная ставка) - 14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 - 0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 - 13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Планируется реализовать следующие меры налогового стимулирования и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ряда вопросов, связанных с налогообложением финансовых инструментов, а также деятельностью инвесторов и профессиональных участников рынка ценных бумаг в рамках создания в Российской Федерации международного финансового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сближение бухгалтерского и налогового учета с целью упрощения процедур ведения учета, устранения ряда технических сложностей и неэффективных временных и трудовых затрат, связанных с ведением одновременно и раздельно бухгалтерского и налогового учета;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развития промышленного потенциала страны и повышения инвестиционной привлекательности несырьевых секторов экономики, проработка различных вариантов изменения налоговой нагрузки на сырьевые отрасли;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проработка вопроса постепенного перехода к полной отмене налога на имущество организаций в отношении активной (движимой) части основных средств для всех налогоплательщиков в целях стимулирования их к инвестированию в обновление и модернизацию производственных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запланированного введения на территории Российской Федерации местного налога на недвижимость на основании анализа результатов осуществляемых в настоящее время работ по проведению кадастровой (массовой) оценки недвижимости и формированию кадастра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Важным направлением является координация сопровождения инвестиций и защита прав предпринимателей.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соответствии с </w:t>
      </w:r>
      <w:hyperlink r:id="rId79" w:history="1">
        <w:r>
          <w:rPr>
            <w:rFonts w:ascii="Calibri" w:hAnsi="Calibri" w:cs="Calibri"/>
            <w:color w:val="0000FF"/>
          </w:rPr>
          <w:t>Указом</w:t>
        </w:r>
      </w:hyperlink>
      <w:r>
        <w:rPr>
          <w:rFonts w:ascii="Calibri" w:hAnsi="Calibri" w:cs="Calibri"/>
        </w:rPr>
        <w:t xml:space="preserve"> Президента Российской Федерации от 22 июня 2012 г. N 879 учреждена должность Уполномоченного при Президенте Российской Федерации по защите прав предпринимателей (далее - Уполномоченный).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создания данного института была обусловлена тем, что нередко субъекты предпринимательской деятельности не в силах самостоятельно разрешить проблемы, связанные с нарушением их прав и законных интересов, особенно в тех случаях, когда имеют место административные барьеры, бюрократическое давление, коррупционные проявления со стороны органов государственной власти и их должностных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основные компетенции Уполномоченного войдет рассмотрение жалоб субъектов </w:t>
      </w:r>
      <w:r>
        <w:rPr>
          <w:rFonts w:ascii="Calibri" w:hAnsi="Calibri" w:cs="Calibri"/>
        </w:rPr>
        <w:lastRenderedPageBreak/>
        <w:t>предпринимательской деятельности, внесение предложений в органы государственной власти, участие в рассмотрении дел арбитражными судами, участие в уголовном судопроизводстве. Уполномоченный будет иметь право запрашивать и получать необходимые документы и сведения, право без специального разрешения посещать учреждения уголовно-исполнительной системы, осуществлять иные действия, направленные на защиту прав и законных интересов субъектов предпринимательской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осуществлении деятельности Уполномоченный вправе назначать общественных помощников (омбудсменов), которые осуществляют представительские и экспертные функции на общественных началах.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вправе создавать экспертные и консультативные советы, рабочие группы и иные совещательные органы, действующие на общественных началах, из числа лиц, обладающих необходимыми знаниями в сфере предпринимательской деятельности. Для участия в их деятельности будут привлекаться представители предпринимательского сообщества, общественных организаций, а также представители органов государственной власти и органов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Уполномоченных по защите прав предпринимателей в регионах Российской Федерации будут создаваться с помощью принятия соответствующих нормативных актов на региональном уровне и иметь аналогичные функции, за исключением тех, которые не могут реализованы на региональном уровне.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работы на данном направлении является налаживание работы Уполномоченного, организация взаимодействия с федеральными, региональными и местными органами власти Российской Федерации и внесение необходимых изменений в законодательные акты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содействия развитию деятельности институтов, содействующих совершенствованию условий ведения предпринимательской деятельности, сопровождению приоритетных инвестиционных проектов и привлечению инвесторов предусмотрена финансовая поддержка деятельности автономной некоммерческой организации "Агентство стратегических инициатив по продвижению новых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важным в процессе повышения инвестиционной активности в России является развитие конкуренции, которая представляет собой комплексную задачу, стоящую перед системой органов государственной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создания благоприятной конкурентной среды необходимо повышение эффективности осуществления антимонопольного регулирования. Это предполагает разработку,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особенностей конкурентной политики Российской Федерации является то, что наряду с мерами по защите и развитию конкуренции реализуется, и ряд ограничительных мер, связанных с регулированием иностранных инвестиций в хозяйственные общества, имеющие стратегическое значение для обороны страны и безопасности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уведомительного и последующего контроля при регулировании иностранных инвестиций в хозяйственных обществах, имеющих стратегическое значение для обороны страны и безопасности государства, как и в сфере антимонопольного регулирования, позволяет охватить большое число проверяемых субъектов и объектов, не сковывая при этом инициативы иностранных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между действующими российскими предприятиями, имеющими стратегическое значение, и аналогичными предприятиями с участием иностранных инвесторов на внутреннем рынке имеет существенное значение в борьбе с монополизмом и, несомненно, является важным фактором экономического роста, так как направлена на эффективное функционирование товарных рынков в стратегических отраслях.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последние годы в Российской Федерации, как и во всем мире, наблюдается тенденция сотрудничества государства и бизнеса в инфраструктурных отраслях, которые ранее находились в государственной собственности и государственном управлении (электроэнергетика, автодорожное, железнодорожное, коммунальное хозяйства, социальная сфера). Правительства </w:t>
      </w:r>
      <w:r>
        <w:rPr>
          <w:rFonts w:ascii="Calibri" w:hAnsi="Calibri" w:cs="Calibri"/>
        </w:rPr>
        <w:lastRenderedPageBreak/>
        <w:t>передают право временного пользования частному сектору объекты указанных отраслей, закрепляя за собой функции регулирования и контроля за их деятельностью. Такое взаимодействие осуществляется в рамках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Тенденция сотрудничества государства и бизнеса связана с тем, что далеко не всегда предприятия инфраструктурных отраслей могут быть приватизированы ввиду стратегической, экономической и социально-политической значимости объектов инфраструктуры. С другой стороны, в государственном бюджете нет достаточного масштаба финансовых ресурсов, позволяющих обеспечивать в них простое и расширенное воспроизводство для удовлетворения растущего спроса со стороны общества и отдельных его хозяйственных структур.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Институциональная и нормативная "определенность" является наиболее значимым фактором успеха развития государственно-частного партнерства в той или иной стране, так как частные инвесторы стремятся избегать проектов, при реализации которых могут возникнуть непредусмотренные риски.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важной задачей для совершенствования государственно-частного партнерства является развитие институтов, процедур и процессов по их эффективному формированию.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 программ и иных документов, связанных с развитием механизмов государственно-частного партнерства в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выработке и реализации основных направлений государственной политики в сфере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в сфере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существующих и вновь предлагаемых мер по стимулированию развития государственно-частного партнерства в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с целью формирования согласованной экономической политики в сфере государственно-частного партнерства, предполагается активизировать деятельности Координационного совета по вопросам развития государственно-частного партнерства при Минэкономразвития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расширения инструментария государственно-частного партнерства в Минэкономразвития России ведется работа по созданию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доходов бюджетной системы Российской Федерации, полученных вследствие развития такой территории, в рамках Инвестиционного фонда Российской Федерации с использованием механизма "Tax Increment Financing" (TIF).</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концессионного законодательства планируется введение возможности применения платы концедента по концессионному соглашению на все объекты концессионного соглашения (в настоящее время плата концедента по концессионному соглашению может быть использована только в отношении автомобильных дорог федерального значения).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7" w:name="Par979"/>
      <w:bookmarkEnd w:id="37"/>
      <w:r>
        <w:rPr>
          <w:rFonts w:ascii="Calibri" w:hAnsi="Calibri" w:cs="Calibri"/>
        </w:rPr>
        <w:t>II. Приоритеты государственной политики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38" w:name="Par985"/>
      <w:bookmarkEnd w:id="38"/>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сфере реализации подпрограммы сформированы на основе положений </w:t>
      </w:r>
      <w:hyperlink r:id="rId8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Основных </w:t>
      </w:r>
      <w:hyperlink r:id="rId81" w:history="1">
        <w:r>
          <w:rPr>
            <w:rFonts w:ascii="Calibri" w:hAnsi="Calibri" w:cs="Calibri"/>
            <w:color w:val="0000FF"/>
          </w:rPr>
          <w:t>направлений</w:t>
        </w:r>
      </w:hyperlink>
      <w:r>
        <w:rPr>
          <w:rFonts w:ascii="Calibri" w:hAnsi="Calibri" w:cs="Calibri"/>
        </w:rPr>
        <w:t xml:space="preserve"> деятельности Правительства Российской Федерации до 2012 года, утвержденных распоряжением Правительства Российской </w:t>
      </w:r>
      <w:r>
        <w:rPr>
          <w:rFonts w:ascii="Calibri" w:hAnsi="Calibri" w:cs="Calibri"/>
        </w:rPr>
        <w:lastRenderedPageBreak/>
        <w:t xml:space="preserve">Федерации от 17 ноября 2008 г. N 1663-р, Основных </w:t>
      </w:r>
      <w:hyperlink r:id="rId82" w:history="1">
        <w:r>
          <w:rPr>
            <w:rFonts w:ascii="Calibri" w:hAnsi="Calibri" w:cs="Calibri"/>
            <w:color w:val="0000FF"/>
          </w:rPr>
          <w:t>направлений</w:t>
        </w:r>
      </w:hyperlink>
      <w:r>
        <w:rPr>
          <w:rFonts w:ascii="Calibri" w:hAnsi="Calibri" w:cs="Calibri"/>
        </w:rPr>
        <w:t xml:space="preserve"> налоговой политики Российской Федерации, разрабатываемых на трехлетнюю перспективу, утверждаемых Правительством Российской Федерации ежегодно, Бюджетного послания Президента Российской Федерации Д.А. Медведева Федеральному Собранию Российской Федерации от 29 июня 2010 г. "О бюджетной политике в 2011 - 2013 годах"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приоритетов отнесены следующие направления: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для ведения бизнеса и привлечение инвестиций в экономику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локализации производств иностранных компаний на территории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излишних административных барьеров;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собственности и контрактных обязательств;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прав собственности и корпоративных отношений;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для развития инфраструктуры внебюджетных средств при активизации использования механизмов государственно-частного партнерства, обеспечение конкурентных условий для участия бизнеса в соответствующих инвестиционных проектах;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стимулирующей роли налоговой системы с учетом необходимости поддержания сбалансированности бюджетной системы и упрощение административных процедур.</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39" w:name="Par999"/>
      <w:bookmarkEnd w:id="39"/>
      <w:r>
        <w:rPr>
          <w:rFonts w:ascii="Calibri" w:hAnsi="Calibri" w:cs="Calibri"/>
        </w:rPr>
        <w:t>2. Цели, задачи и показатели (индикаторы) достижения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подпрограмма направлена на создание благоприятных условий для ведения бизнеса и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совершенствование механизмов государственно-частного партнерства, развитие особых экономических зон, создание благоприятной конкурентной среды, а также на совершенствование контроля за применением антимонопольного законодательства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сформулированы следующие цели реализации настоящей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цель - создание благоприятных условий ведения предпринимательской деятельности для привлечения инвестиций в экономику Российской Федерации. Ее достижение позволит обеспечить модернизацию российской экономики на основе стимулирования роста иностранных и российских инвестиций, создания благоприятного инвестиционного климата, имиджа России, расширения использования специальных механизмов привлечения инвестиций (развития деятельности закрытого паевого инвестиционного фонда "Российский фонд прямых инвестиций", автономной некоммерческой организации "Агентство стратегических инициатив по продвижению новых проектов", особых экономических зон, государственно-частного партнерства и т.д.). В рамках достижения цели необходимо обеспечить решение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по улучшению условий ведения предпринимательской деятельности и имиджа в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долгосрочных прямых иностранных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налогового законодательства и налогового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корпоративного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оценки регулирующего воздействия нормативных правовых актов и их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особых экономических зон в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w:t>
      </w:r>
      <w:r>
        <w:rPr>
          <w:rFonts w:ascii="Calibri" w:hAnsi="Calibri" w:cs="Calibri"/>
        </w:rPr>
        <w:lastRenderedPageBreak/>
        <w:t>значение.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прямых иностранных инвестиций в российской экономике к ВВП,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прямых иностранных инвестиций в российскую экономику, млрд. долларов США;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предоставления налоговых льгот (по опросам налогоплательщиков), процентов компаний, положительно оценивающих эффективность;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особых экономических зон,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мест, созданных резидентами особых экономических зон,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новых предприятий на 1000 чел. (New business density),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заключений об оценке регулирующего воздействия с количественными оценками,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проектов актов, по которым в рамках оценки регулирующего воздействия разработчиками была проведена оценка альтернатив,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цель - создание благоприятной конкурентной среды. Для ее достижения необходимо обеспечить решение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предпринимательской деятельности на рынках товаров и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размещения заказов на поставки товаров, выполнение работ, оказание услуг для нужд заказчиков.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контроля за применением антимонопольного законодательства.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0" w:name="Par1032"/>
      <w:bookmarkEnd w:id="40"/>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иностранных инвестиций в российскую экономику, а также доли прямых иностранных инвестиций в российской экономике к ВВП (с 2,6 процента к ВВП в 2012 г. до 4 процентов ВВП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товаров/услуг произведенных/оказанных резидентами особых экономических зон более чем в 4,8 раза (по сравнению с 2010 г.);</w:t>
      </w:r>
    </w:p>
    <w:p w:rsidR="00C65754" w:rsidRPr="00357D9C" w:rsidRDefault="00C65754">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рост количества новых предприятий на 1000 чел. </w:t>
      </w:r>
      <w:r w:rsidRPr="00357D9C">
        <w:rPr>
          <w:rFonts w:ascii="Calibri" w:hAnsi="Calibri" w:cs="Calibri"/>
          <w:lang w:val="en-US"/>
        </w:rPr>
        <w:t xml:space="preserve">(New business density) </w:t>
      </w:r>
      <w:r>
        <w:rPr>
          <w:rFonts w:ascii="Calibri" w:hAnsi="Calibri" w:cs="Calibri"/>
        </w:rPr>
        <w:t>с</w:t>
      </w:r>
      <w:r w:rsidRPr="00357D9C">
        <w:rPr>
          <w:rFonts w:ascii="Calibri" w:hAnsi="Calibri" w:cs="Calibri"/>
          <w:lang w:val="en-US"/>
        </w:rPr>
        <w:t xml:space="preserve"> 2,6 </w:t>
      </w:r>
      <w:r>
        <w:rPr>
          <w:rFonts w:ascii="Calibri" w:hAnsi="Calibri" w:cs="Calibri"/>
        </w:rPr>
        <w:t>в</w:t>
      </w:r>
      <w:r w:rsidRPr="00357D9C">
        <w:rPr>
          <w:rFonts w:ascii="Calibri" w:hAnsi="Calibri" w:cs="Calibri"/>
          <w:lang w:val="en-US"/>
        </w:rPr>
        <w:t xml:space="preserve"> 2012 </w:t>
      </w:r>
      <w:r>
        <w:rPr>
          <w:rFonts w:ascii="Calibri" w:hAnsi="Calibri" w:cs="Calibri"/>
        </w:rPr>
        <w:t>г</w:t>
      </w:r>
      <w:r w:rsidRPr="00357D9C">
        <w:rPr>
          <w:rFonts w:ascii="Calibri" w:hAnsi="Calibri" w:cs="Calibri"/>
          <w:lang w:val="en-US"/>
        </w:rPr>
        <w:t xml:space="preserve">. </w:t>
      </w:r>
      <w:r>
        <w:rPr>
          <w:rFonts w:ascii="Calibri" w:hAnsi="Calibri" w:cs="Calibri"/>
        </w:rPr>
        <w:t>до</w:t>
      </w:r>
      <w:r w:rsidRPr="00357D9C">
        <w:rPr>
          <w:rFonts w:ascii="Calibri" w:hAnsi="Calibri" w:cs="Calibri"/>
          <w:lang w:val="en-US"/>
        </w:rPr>
        <w:t xml:space="preserve"> 5,4 </w:t>
      </w:r>
      <w:r>
        <w:rPr>
          <w:rFonts w:ascii="Calibri" w:hAnsi="Calibri" w:cs="Calibri"/>
        </w:rPr>
        <w:t>в</w:t>
      </w:r>
      <w:r w:rsidRPr="00357D9C">
        <w:rPr>
          <w:rFonts w:ascii="Calibri" w:hAnsi="Calibri" w:cs="Calibri"/>
          <w:lang w:val="en-US"/>
        </w:rPr>
        <w:t xml:space="preserve"> 2020 </w:t>
      </w:r>
      <w:r>
        <w:rPr>
          <w:rFonts w:ascii="Calibri" w:hAnsi="Calibri" w:cs="Calibri"/>
        </w:rPr>
        <w:t>г</w:t>
      </w:r>
      <w:r w:rsidRPr="00357D9C">
        <w:rPr>
          <w:rFonts w:ascii="Calibri" w:hAnsi="Calibri" w:cs="Calibri"/>
          <w:lang w:val="en-US"/>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рабочих мест, созданных резидентами особых экономических зон с 8215 в 2012 году до 21050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 уровень локализации производств иностранных компаний на территории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привлечены дополнительные финансовые ресурсы для инвестиций в основные фонды;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повышено качество налогового законодательства и налогового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единая согласованная экономическая политика в сфере развития механизмов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государственная поддержка формирования и развития региональных инновационных производственных кластеров на базе создаваемых промышленно-</w:t>
      </w:r>
      <w:r>
        <w:rPr>
          <w:rFonts w:ascii="Calibri" w:hAnsi="Calibri" w:cs="Calibri"/>
        </w:rPr>
        <w:lastRenderedPageBreak/>
        <w:t>производственных и технико-внедренческих особых экономических зон с целью развития регионов;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эффективная государственная политика в области контроля иностранных инвестиций в хозяйствующие общества, имеющие стратегическое значение для обеспечения обороны страны и безопасности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система оценки состояния конкурентной среды в Российской Федерации, включая систему оценки конкурентной среды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активизация региональной конкурентной политики, в том числе за счет проведения регионами оценки регулирующего воздействия;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федеральная контрактная система в сфере закупок товаров, работ и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необоснованных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осуществлена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 и создание условий для развития конкуренции в сферах деятельности субъектов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подпрограммы влияет на достижение индикатора госпрограммы: место России в рейтинге Всемирного банка "Ведение бизнеса" (Doing Business).</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1" w:name="Par1055"/>
      <w:bookmarkEnd w:id="41"/>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42" w:name="Par1059"/>
      <w:bookmarkEnd w:id="42"/>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 - "Создание благоприятных условий для привлечения инвестиций в экономику Российской Федерации", "Совершенствование корпоративного управления", "Повышение качества оценки регулирующего воздействия проектов нормативных правовых актов и их проектов", "Развитие особых экономических зон", "Создание благоприятной конкурентной среды", "Совершенствование контроля за применением антимонопольного законодательства",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"Реализация проекта МБРР "Поддержка судебной реформы", "Реализация проекта МБРР "Содействие созданию и развитию особых экономических зон в Российской Федерации" и "Формирование и развитие федеральной контрактной системы".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3" w:name="Par1063"/>
      <w:bookmarkEnd w:id="43"/>
      <w:r>
        <w:rPr>
          <w:rFonts w:ascii="Calibri" w:hAnsi="Calibri" w:cs="Calibri"/>
        </w:rPr>
        <w:t>1. Создание благоприятных условий для привлечения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 в экономику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улучшения инвестиционного климата России, привлечения иностранных инвесторов и сопровождения инвестиций в экономику страны планируется сосредоточиться на следующих направлениях.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реализация мер по улучшению инвестиционного климата России в указанный период планируется: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совершенствование таможенного администрирования;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сокращение административных барьеров в строительстве;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повышение доступности энергетической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улучшение инвестиционного климата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в нормативных правовых актах федеральных органов исполнительной власти </w:t>
      </w:r>
      <w:r>
        <w:rPr>
          <w:rFonts w:ascii="Calibri" w:hAnsi="Calibri" w:cs="Calibri"/>
        </w:rPr>
        <w:lastRenderedPageBreak/>
        <w:t>положений, необоснованно затрудняющих ведение предпринимательской и инвестиционной деятельности в России, и инициирование процедуры об отмене таких актов или их отдельных положений;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Консультативного совета по иностранным инвестициям,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организациями - членами Консультативного совета по иностранным инвестициям в части разрешения возникающих у иностранных инвесторов проблем;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основным направлениям деятельности Консультативного совета по иностранным инвестициям.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и реализации мер, направленных на улучшение инвестиционного имиджа Российской Федерации в указанный период планируется: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с международными инвестиционными банками по улучшению восприятия России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работа по повышению инвестиционных рейтингов Российской Федерации с ведущими рейтинговыми агентствами;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ключевых российских и международных экономических и инвестиционных форумов, семинаров и конференций,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Петербургского международного экономического форума.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привлечения иностранных инвесторов в Российскую Федерацию: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эффективного функционирования закрытого паевого инвестиционного фонда "Российский фонд прямых инвестиций" и автономной некоммерческой организации "Агентство стратегических инициатив по продвижению новых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Торговыми представительствами Российской Федерации в иностранных государствах в продвижении инвестиционных проектов российских компаний и регионов Российской Федерации, в том числе распространение информации об инвестиционном потенциале и организация презентаций регионов, содействие участию в выставочно-ярмарочных мероприятиях в стране пребывания, организация бизнес-миссий и презентаций компаний, поиск и установление контактов с потенциальными инвесторами и партнерами.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 направленных на решение проблем иностранных инвесторов, в указанный период планируется создание условий для сокращения количества обращений инвесторов, а также повышение количества решенных проблем инвесторов к общему количеству поступивших проблем инвесторов на конец периода (с даты начала мониторинга, январь 2010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рабочих групп по инвестиционной тематике, функционирующие в рамках межправительственных комиссий.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механизмов государственно-частного партнерства в указанный период планируется: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согласованной политики в сфере развития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функционирования механизмов государственно-частного партнерства в инвестиционной сфере,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концессионного </w:t>
      </w:r>
      <w:hyperlink r:id="rId83" w:history="1">
        <w:r>
          <w:rPr>
            <w:rFonts w:ascii="Calibri" w:hAnsi="Calibri" w:cs="Calibri"/>
            <w:color w:val="0000FF"/>
          </w:rPr>
          <w:t>законодательства</w:t>
        </w:r>
      </w:hyperlink>
      <w:r>
        <w:rPr>
          <w:rFonts w:ascii="Calibri" w:hAnsi="Calibri" w:cs="Calibri"/>
        </w:rPr>
        <w:t xml:space="preserve"> в целях внедрения в российскую практику контрактов жизненного цикла;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анализ и мониторинг проектов Инвестиционного фонда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нормативных правовых актов, регламентирующих порядок предоставления бюджетных ассигнований Инвестиционного фонда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взаимодействия федеральных органов исполнительной власти, органов исполнительной власти субъектов Российской Федерации, субъектов предпринимательской деятельности, общественных и научно-исследовательских организаций в части развития механизмов и реализации проектов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реализации проектов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доступа к инструментам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повышению квалификации государственных служащих в части использования механизмов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методологическое сопровождение субъектов Российской Федерации по использованию </w:t>
      </w:r>
      <w:r>
        <w:rPr>
          <w:rFonts w:ascii="Calibri" w:hAnsi="Calibri" w:cs="Calibri"/>
        </w:rPr>
        <w:lastRenderedPageBreak/>
        <w:t>механизмов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проектов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Координационного совета по вопросам развития государственно-частного партнерства при Минэкономразвития России, в том числе подготовка предложений по разработке программ и иных документов, связанных с развитием механизмов государственно-частного партнерства, а также подготовка аналитических материалов в сфере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повышения качества налогового законодательства в данный период планируется: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экспертиза нормативных правовых актов в области налогового законодательства,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налога на недвижимость;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сближение налогового и бухгалтерского учета;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налогообложения финансовых инструментов;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проработка вопроса изменения налоговой нагрузки на сырьевые отрасли;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каникул по налогу на прибыль организаций, налогу на имущество организаций и земельному налогу на 5 лет для вновь созданных промышленных предприятий и высокотехнологичных стартап-проектов;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предоставления налоговых льгот;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международных тенденций и законодательства в сфере налогообложения;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налоговых условий для роста инвестиций в основные фонды.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4" w:name="Par1110"/>
      <w:bookmarkEnd w:id="44"/>
      <w:r>
        <w:rPr>
          <w:rFonts w:ascii="Calibri" w:hAnsi="Calibri" w:cs="Calibri"/>
        </w:rPr>
        <w:t>2. Совершенствование корпоративного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повышения инновационности экономики и ускорения оборота предприниматели заинтересованы в законодательстве, обеспечивающем максимально гибкие возможности для старта нового бизнеса, оперативного изменения его формата, для быстрого и недорогого привлечения капитала различными способами при сохранении эффективных механизмов защиты права собственности и контрактных прав. При этом экономическая глобализация и конвергенция правопорядков требуют, чтобы российская юрисдикция была конкурентоспособна по сравнению с ведущими иностранными юрисдикциями в плане удобства и эффективности ведения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корпоративное право, несмотря на осуществленные в 2008 - 2009 годы реформы, в целом остается зарегулированным, а суды исходят из принципа "запрещено все, что прямо не разрешено законом".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координационных контрактов, широко используемых в инновационном бизнесе, недостаточно институциализирован. В российской институциональной системе не специфицированы контрактные права сторон опционных соглашений, акционерных соглашений, соглашений о неустойке, гарантийных писем, что приводит к росту транзакционных издержек, в частности, к тому, что российские предприниматели вынуждены договариваться по правилам игры, установленным в иностранных юрисдикциях.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компании характеризуются однородностью интересов акционеров, высокой интенсивностью оборота акций, рыночной стандартизацией контрактных прав их участников. Это обуславливает появление дефолтных правил в законодательстве, снижающих размер транзакционных издержек (прежде всего, monitoring and bargaining costs). Однако этот подход не оправдывается в отношении закрытых, непубличных компаний, относительные издержки участников которых на участие в корпоративном управлении существенно ниже доходности по акциям.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в России лишь 0,05 процента компаний являются публичными. Участники закрытых компаний с учетом их неоднородных интересов могут эффективнее договариваться об оптимальном распределении выгод в рамках координационных контрактов. Между тем, Федеральный </w:t>
      </w:r>
      <w:hyperlink r:id="rId84" w:history="1">
        <w:r>
          <w:rPr>
            <w:rFonts w:ascii="Calibri" w:hAnsi="Calibri" w:cs="Calibri"/>
            <w:color w:val="0000FF"/>
          </w:rPr>
          <w:t>закон</w:t>
        </w:r>
      </w:hyperlink>
      <w:r>
        <w:rPr>
          <w:rFonts w:ascii="Calibri" w:hAnsi="Calibri" w:cs="Calibri"/>
        </w:rPr>
        <w:t xml:space="preserve"> "Об акционерных обществах", хотя и признает существование закрытых компаний, не предполагает специальных правил их регулирования. При этом существующие "традиционные" закрытые формы организации бизнеса (общества с ограниченной ответственностью, координационные контракты) часто сужают возможности по финансированию компании, искусственно ограничивают доступ к ресурсам рынка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Представляется, что общим посылом законодательного регулирования должно быть последовательное избавление корпоративного права от избыточных ограничений.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учреждения компаний планируется принятие ряда мер направленных на формализацию и ускорение процесса государственной регистрации компаний, а в целях снижения рисков злоупотреблений планируется развивать механизмы субсидиарной ответственности учредителей (участников) за предоставление недостоверных сведений о компании, равно как и за недобросовестные действия в ходе функционирования компании и при ее ликвидации. Так, в юрисдикциях большинства развитых стран признано, что жесткий контроль за созданием юридических лиц малоэффективен и приводит лишь к увеличению сроков регистрации компаний и способствует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ведется работа по целенаправленному отказу от представлений об обеспечительном характере уставного капитала, предполагается обеспечивать защиту прав кредиторов механизмами субсидиарной ответственности директоров, менеджмента и контролирующих лиц компании.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ведется работа по совершенствованию законодательства в части реорганизации и ликвидации компаний. В частности, планируется закрепить в законодательстве возможность осуществления смешанных реорганизаций как по организационно-правовым формам, так и по формам реорганизации, конкретизировать основания и порядок оспаривания реорганизации, а также соответствующих юридических фактов, составляющих указанную процедуру.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прав инвесторов планируется обеспечить прозрачность реорганизационных процедур и развитие механизмов ответственности лиц, получивших незаконные выгоды в результате реорганизации, а нормы, предусматривающие судебный порядок предъявления кредиторами требований, распространить на все юридические лица.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проблемы ухода от ответственности при неисполнении обязательств перед контрагентами и обязанностей по уплате налогов и сборов, ведется работа, направленная на развитие исков к контролирующим акционерам, уточняются положения процедуры добровольной ликвидации, планируется установить имущественную ответственность за нарушение ликвидационной комиссией обязанностей по подаче заявления о признании ликвидируемой организации банкротом, уведомлению кредиторов о ликвидации, по депонированию у нотариуса средств для удовлетворения спорных требований кредиторов или требований кредиторов, чье местоположение невозможно установить для решения проблемы ликвидации юридических лиц с долгами.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закрепление механизмов ответственности контролировавших ликвидированную организацию лиц, закрепление оснований такой ответственности, будет служить повышении гарантий прав кредиторов. В целях защиты прав кредиторов и фискальных интересов планируется предусмотреть возможность восстановления записи в Едином государственном реестре юридических лиц об исключенной в административном порядке организации в случае обнаружения нераспределенного имущества или неудовлетворенных требований кредиторов и проведения ликвидации на общих основаниях.</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5" w:name="Par1125"/>
      <w:bookmarkEnd w:id="45"/>
      <w:r>
        <w:rPr>
          <w:rFonts w:ascii="Calibri" w:hAnsi="Calibri" w:cs="Calibri"/>
        </w:rPr>
        <w:t>3. Повышение качества оценки регулирующего воздействия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и экспертизы действующих нормативных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оценки регулирующего воздействия в России создавался как инструмент борьбы с административными барьерами, а также с регулированием, несущим необоснованные издержки для производителей. Развитие данного института было одним из приоритетных направлений работы Правительства Российской Федерации, направленной на улучшение инвестиционного и предпринимательского климата посредством повышения качества правотворчества, создания прозрачных и понятных для всех механизмов для принятия обоснованных регулятивных решений.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развития института на протяжении двух лет его существования происходило постепенное становление его процедур, расширение предметной области оценки, вовлечение в оценочную деятельность, как федеральных органов исполнительной власти, так и широкого круга </w:t>
      </w:r>
      <w:r>
        <w:rPr>
          <w:rFonts w:ascii="Calibri" w:hAnsi="Calibri" w:cs="Calibri"/>
        </w:rPr>
        <w:lastRenderedPageBreak/>
        <w:t xml:space="preserve">заинтересованных лиц со стороны предпринимательского сообщества и граждан, был запущен в действие механизм экспертизы действующих нормативных актов ведомств. Направления развития института оценки регулирующего воздействия в среднесрочной перспективе определены </w:t>
      </w:r>
      <w:hyperlink r:id="rId85"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Минэкономразвития России совместно с федеральными органами исполнительной власти по проведению оценки регулирующего воздействия проектов нормативных актов создала условия для перехода к проведению процедур оценки самими разработчиками нормативного регулирования. Начиная с 2013 года органы-регуляторы перейдут к самостоятельному проведению всего цикла процедур оценки. При этом за Минэкономразвития России сохранятся полномочия по подготовке заключения об оценке регулирующего воздействия, в котором будет делаться вывод о полноте и объективности проведенной разработчиком оценки регулирующего воздействия, а также содержаться позиция Минэкономразвития России об обоснованности предлагаемых ведомствами-регуляторами решений.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порядок проведения процедур оценки регулирующего воздействия позволит в полной мере задействовать потенциал регуляторов, как наиболее компетентных и ответственных участников процесса правотворчества в регулируемых ими сферах. Новый порядок проведения оценки регулирующего воздействия устанавливает пошаговую структурированную процедуру оценки регулирующего воздействия, которая позволит разработчикам правового регулирования в ходе правотворческого процесса поставить все необходимые вопросы о возможных последствиях предлагаемого регулирования, а также получить отклик от всех заинтересованных сторон. Для Минэкономразвития России как органа, ответственного за подготовку заключения об оценке регулирующего воздействия, и всех заинтересованных лиц будет обеспечена прозрачность процесса подготовки нормативного акта, как в части проведения всех необходимых процедур, так и по существу оценки разработчиком альтернативных решений и возможных рисков.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указанных результатов потребует улучшения информационного, научно-методического обеспечения, совершенствования механизмов участия в оценке регулирующего воздействия потенциальных адресатов правового регулирования, распространения сферы применения новых институтов, в том числе за счет оказывающих влияние на инвестиционный климат в стране решений органов государственной власти субъектов Российской Федерации, органов местного самоуправления. Распространение процедур оценки регулирующего воздействия на региональный и муниципальный уровни публичного управления предусмотрена положениями Указа Президента Российской Федерации от 7 мая 2012 года N 601 "Об основных направлениях совершенствования системы государственного управления" </w:t>
      </w:r>
      <w:hyperlink r:id="rId86" w:history="1">
        <w:r>
          <w:rPr>
            <w:rFonts w:ascii="Calibri" w:hAnsi="Calibri" w:cs="Calibri"/>
            <w:color w:val="0000FF"/>
          </w:rPr>
          <w:t>(подпункт "д" пункта 2)</w:t>
        </w:r>
      </w:hyperlink>
      <w:r>
        <w:rPr>
          <w:rFonts w:ascii="Calibri" w:hAnsi="Calibri" w:cs="Calibri"/>
        </w:rPr>
        <w:t xml:space="preserve"> начиная с 2014 года и 2015 года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оценки регулирующего воздействия должно сопровождаться опережающим развитием кадрового потенциала всех участников процесса, подготовки на основе выработанного опыта и лучших зарубежных практик модельных решений, облегчающих оценку типовых решений.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повышением качества оценки регулирующего воздействия будут созданы условия для введения механизмов мониторинга достижения целей регулирования, активно внедряемых в настоящее время в развитых экономиках и предполагающих всестороннюю оценку регулирующего воздействия не только в отношении проектов актов, но и в период действия акта.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основным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проведению процедуры оценки регулирующего воздействия на стадию разработки и обоснования регулирующих решений, еще до их оформления в тексте конкретного проекта акта;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предметной области оценки;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экспертизы действующих нормативных актов и мониторинга вновь введенного правового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становления института оценки регулирующего воздействия в субъектах Российской Федерации, формирование центров соответствующих компетенций в регионах России.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6" w:name="Par1142"/>
      <w:bookmarkEnd w:id="46"/>
      <w:r>
        <w:rPr>
          <w:rFonts w:ascii="Calibri" w:hAnsi="Calibri" w:cs="Calibri"/>
        </w:rPr>
        <w:t>4. Развитие особых экономических зон</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формирование в особых экономических зонах благоприятной среды ведения предпринимательской деятельности, привлечению российских и иностранных инвестиций в высокотехнологичные производства, сферу научных разработок, портовые и туристические хозяйства и связанные с ними сферы услуг, а также улучшения международного имиджа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нормативных правовых актов об особых экономических зонах, а также формирование нормативной правовой базы Таможенного союза в части регулирования применения таможенной процедуры свободной таможенной зоны;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и административной инфраструктуры на территориях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инженерной, транспортной, социальной, инновационной и иной инфраструктуры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потребностей резидентов в газо-, водо-, тепло-, энергоснабжении;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обслуживание и содержание введенных в эксплуатацию объектов инфраструктуры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эффективной системы управления особыми экономическими зонами, включая организацию передачи части полномочий по управлению особыми экономическими зонами субъектам Российской Федерации и управляющим компаниям;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экспертных советов, рассмотрение бизнес-планов потенциальных резидентов особых экономических зон, регистрация резидентов особых экономических зон, а также контроль исполнения резидентами особых экономических зон соглашений об осуществлении (ведении) деятельности на территориях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содействия резидентам особых экономических зон в оформлении необходимой документации для заключения соглашений и консультирование резидентов особых экономических зон в части применения </w:t>
      </w:r>
      <w:hyperlink r:id="rId87" w:history="1">
        <w:r>
          <w:rPr>
            <w:rFonts w:ascii="Calibri" w:hAnsi="Calibri" w:cs="Calibri"/>
            <w:color w:val="0000FF"/>
          </w:rPr>
          <w:t>законодательства</w:t>
        </w:r>
      </w:hyperlink>
      <w:r>
        <w:rPr>
          <w:rFonts w:ascii="Calibri" w:hAnsi="Calibri" w:cs="Calibri"/>
        </w:rPr>
        <w:t xml:space="preserve"> об особых экономических зонах;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привлечение отечественных и иностранных инвесторов - потенциальных резидентов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крупнейших международных конгрессо-выставочных мероприятиях (форумах, конференциях, семинарах);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российских особых экономических зон на международной арене.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7" w:name="Par1158"/>
      <w:bookmarkEnd w:id="47"/>
      <w:r>
        <w:rPr>
          <w:rFonts w:ascii="Calibri" w:hAnsi="Calibri" w:cs="Calibri"/>
        </w:rPr>
        <w:t>5. Создание благоприятной конкурентной среды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созданию благоприятной конкурентной среды будет осуществляться в рамках </w:t>
      </w:r>
      <w:hyperlink r:id="rId88" w:history="1">
        <w:r>
          <w:rPr>
            <w:rFonts w:ascii="Calibri" w:hAnsi="Calibri" w:cs="Calibri"/>
            <w:color w:val="0000FF"/>
          </w:rPr>
          <w:t>плана</w:t>
        </w:r>
      </w:hyperlink>
      <w:r>
        <w:rPr>
          <w:rFonts w:ascii="Calibri" w:hAnsi="Calibri" w:cs="Calibri"/>
        </w:rP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реализовываться как системные меры по развитию конкуренции, так и меры по развитию конкуренции в приоритетных отраслях. Предусмотрены оперативная оценка выполнения мер и обновление плана с учетом исполнения и актуальности в текущей социально экономической ситуации, включая формирование перечня приоритетных отраслей и системных мероприятий на ежегодной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"Создание благоприятной конкурентной среды" предполагается в нижеследующих направлениях.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обеспечение оценки состояния конкурентной среды в Российской Федерации, включая оценку состояния конкурентной среды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отсутствует комплексная система показателей состояния конкурентной среды на товарных рынках. Необходима собственная система оценки состояния конкурентной среды в Российской Федерации. Такая оценка не только позволит </w:t>
      </w:r>
      <w:r>
        <w:rPr>
          <w:rFonts w:ascii="Calibri" w:hAnsi="Calibri" w:cs="Calibri"/>
        </w:rPr>
        <w:lastRenderedPageBreak/>
        <w:t>отслеживать эффективность реализации государственной конкурентной политики, но и определять причины, препятствующие развитию конкуренции на товарных рынках.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оценка состояния конкурентной среды в субъектах Российской Федерации обеспечит рейтингование регионов, на основе которого возможно стимулирование региональных органов власти к улучшению предпринимательского климата и созданию условий для развития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реализация общесистемных мер по развитию конкуренции, направленных на создание благоприятных условий ведения бизнеса, обеспечения доступа для входа и выхода на рынок и снижение административных барьеров.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общесистемных мер по развитию конкуренции предусматриваются совершенствование институциональной модели реализации политики по развитию конкуренции на федеральном и региональном уровне.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данного основного мероприятия предусматриваются следующие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антимонопольного </w:t>
      </w:r>
      <w:hyperlink r:id="rId89" w:history="1">
        <w:r>
          <w:rPr>
            <w:rFonts w:ascii="Calibri" w:hAnsi="Calibri" w:cs="Calibri"/>
            <w:color w:val="0000FF"/>
          </w:rPr>
          <w:t>законодательства</w:t>
        </w:r>
      </w:hyperlink>
      <w:r>
        <w:rPr>
          <w:rFonts w:ascii="Calibri" w:hAnsi="Calibri" w:cs="Calibri"/>
        </w:rPr>
        <w:t xml:space="preserve"> и деятельности антимонопольного органа;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деятельности предпринимателей в рамках антимонопольного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стандартов развития конкуренции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функций по развитию конкуренции в приоритеты деятельности органов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инфраструктурных отраслях, включая сферы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при осуществлении закупок;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государственного сектора в экономике;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защиты прав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сферы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и распространение лучших практик реализации региональной конкурентной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реализация мер по развитию конкуренции на отдельных рынках и в отдельных отраслях.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общесистемными мерами, предусматривается реализация мероприятий по развитию конкуренции на отдельных, в первую очередь, социально значимых рынках. Оценка эффективности принимаемых мер будет осуществляться на основе достижения конкретных показателей, характеризующих конкурентную среду на соответствующих рынках.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Развитие конкуренции за счет обеспечения в сети Интернет равного доступа всем заинтересованным лицам к информации о торгах по объектам, находящимся в государственной и муниципальной собственности, и ограниченным ресурсам.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 сайт www.torgi.gov.ru стал официальным источником для размещения информации о торгах, предусмотренных </w:t>
      </w:r>
      <w:hyperlink r:id="rId90" w:history="1">
        <w:r>
          <w:rPr>
            <w:rFonts w:ascii="Calibri" w:hAnsi="Calibri" w:cs="Calibri"/>
            <w:color w:val="0000FF"/>
          </w:rPr>
          <w:t>статьей 17.1</w:t>
        </w:r>
      </w:hyperlink>
      <w:r>
        <w:rPr>
          <w:rFonts w:ascii="Calibri" w:hAnsi="Calibri" w:cs="Calibri"/>
        </w:rPr>
        <w:t xml:space="preserve"> Федерального закона "О защите конкуренции", в отношении прав владения и (или) пользования государственным или муниципальным имуществом.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29 июня 2011 г. N 1076-р сайт www.torgi.gov.ru с 1 сентября 2011 г. определен в качестве официального источника для опубликования информации о передаче прав на единые технологии, размещение которой предусмотрено Федеральным </w:t>
      </w:r>
      <w:hyperlink r:id="rId92" w:history="1">
        <w:r>
          <w:rPr>
            <w:rFonts w:ascii="Calibri" w:hAnsi="Calibri" w:cs="Calibri"/>
            <w:color w:val="0000FF"/>
          </w:rPr>
          <w:t>законом</w:t>
        </w:r>
      </w:hyperlink>
      <w:r>
        <w:rPr>
          <w:rFonts w:ascii="Calibri" w:hAnsi="Calibri" w:cs="Calibri"/>
        </w:rPr>
        <w:t xml:space="preserve"> "О передаче прав на единые технологии".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 обязательному размещению на сайте www.torgi.gov.ru подлежит следующая информация: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по продаже права на заключение договоров аренды лесного участка, находящегося в государственной или муниципальной собственности, по продаже права на заключение договоров купли-продажи лесных насаждений, размещение которой предусмотрено Лесным </w:t>
      </w:r>
      <w:hyperlink r:id="rId93" w:history="1">
        <w:r>
          <w:rPr>
            <w:rFonts w:ascii="Calibri" w:hAnsi="Calibri" w:cs="Calibri"/>
            <w:color w:val="0000FF"/>
          </w:rPr>
          <w:t>кодексом</w:t>
        </w:r>
      </w:hyperlink>
      <w:r>
        <w:rPr>
          <w:rFonts w:ascii="Calibri" w:hAnsi="Calibri" w:cs="Calibri"/>
        </w:rPr>
        <w:t xml:space="preserve">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по продаже земельного участка из земель, находящихся в государственной или муниципальной собственности, либо права на заключение договоров аренды таких земельных участков для жилищного строительства, в том числе для индивидуального и </w:t>
      </w:r>
      <w:r>
        <w:rPr>
          <w:rFonts w:ascii="Calibri" w:hAnsi="Calibri" w:cs="Calibri"/>
        </w:rPr>
        <w:lastRenderedPageBreak/>
        <w:t xml:space="preserve">малоэтажного жилищного строительства, об аукционах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размещение которой предусмотрено Земельным </w:t>
      </w:r>
      <w:hyperlink r:id="rId94" w:history="1">
        <w:r>
          <w:rPr>
            <w:rFonts w:ascii="Calibri" w:hAnsi="Calibri" w:cs="Calibri"/>
            <w:color w:val="0000FF"/>
          </w:rPr>
          <w:t>кодексом</w:t>
        </w:r>
      </w:hyperlink>
      <w:r>
        <w:rPr>
          <w:rFonts w:ascii="Calibri" w:hAnsi="Calibri" w:cs="Calibri"/>
        </w:rPr>
        <w:t xml:space="preserve">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на право заключить договор о развитии застроенной территории, размещение которой предусмотрено Градостроительным </w:t>
      </w:r>
      <w:hyperlink r:id="rId95" w:history="1">
        <w:r>
          <w:rPr>
            <w:rFonts w:ascii="Calibri" w:hAnsi="Calibri" w:cs="Calibri"/>
            <w:color w:val="0000FF"/>
          </w:rPr>
          <w:t>кодексом</w:t>
        </w:r>
      </w:hyperlink>
      <w:r>
        <w:rPr>
          <w:rFonts w:ascii="Calibri" w:hAnsi="Calibri" w:cs="Calibri"/>
        </w:rPr>
        <w:t xml:space="preserve">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аукционах на право заключения охотохозяйственного соглашения, размещение которой предусмотрено Федеральным </w:t>
      </w:r>
      <w:hyperlink r:id="rId96"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о внесении изменений в отдельные законодательные акты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конкурсах и аукционах на право пользования участками недр, размещение которой предусмотрено </w:t>
      </w:r>
      <w:hyperlink r:id="rId97" w:history="1">
        <w:r>
          <w:rPr>
            <w:rFonts w:ascii="Calibri" w:hAnsi="Calibri" w:cs="Calibri"/>
            <w:color w:val="0000FF"/>
          </w:rPr>
          <w:t>Законом</w:t>
        </w:r>
      </w:hyperlink>
      <w:r>
        <w:rPr>
          <w:rFonts w:ascii="Calibri" w:hAnsi="Calibri" w:cs="Calibri"/>
        </w:rPr>
        <w:t xml:space="preserve"> Российской Федерации "О недрах".</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расширен перечень торгов, информация о проведении которых должна размещаться на сайте www.torgi.gov.ru:</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конкурсы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на право заключения договора водопользования;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приватизируемого государственного и муниципального имущества в соответствии с требованиями законодательства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на право заключения договора о предоставлении рыбопромыслового участка;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реализации имущества должников.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www.torgi.gov.ru заменил многочисленные региональные и муниципальные источники информации об указанных торгах в сети Интернет, а также печатные средства массовой информации. Единый информационный источник о торгах в сети Интернет позволит в значительной мере снизить административные барьеры для желающих принять участие в таких торгах, существенно расширить аудиторию потенциальных участников, сделать процедуры торгов более прозрачными, упростить возможность сбора статистической информации по торгам.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создание на базе ресурса единого портала для размещения информации о торгах по продаже имущества, принадлежащих Российской Федерации, субъектам Российской Федерации, муниципальным образованиям, и ограниченных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по развитию сайта www.torgi.gov.ru должны стать популяризация ресурса среди потенциальных участников торгов в целях стимулирования конкуренции на торгах, расширение перечня торгов, информация о проведении которых должна размещаться на сайте.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8" w:name="Par1201"/>
      <w:bookmarkEnd w:id="48"/>
      <w:r>
        <w:rPr>
          <w:rFonts w:ascii="Calibri" w:hAnsi="Calibri" w:cs="Calibri"/>
        </w:rPr>
        <w:t>6. Совершенствование контроля за применением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законодательства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документов, направленных на совершенствование процедур деятельности антимонопольных органов и повышение результативности их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административных регламентов по исполнению ФАС России государственных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семинаров, направленных на популяризацию и объяснение необходимости соблюдения антимонопольного </w:t>
      </w:r>
      <w:hyperlink r:id="rId99" w:history="1">
        <w:r>
          <w:rPr>
            <w:rFonts w:ascii="Calibri" w:hAnsi="Calibri" w:cs="Calibri"/>
            <w:color w:val="0000FF"/>
          </w:rPr>
          <w:t>законодательства</w:t>
        </w:r>
      </w:hyperlink>
      <w:r>
        <w:rPr>
          <w:rFonts w:ascii="Calibri" w:hAnsi="Calibri" w:cs="Calibri"/>
        </w:rPr>
        <w:t xml:space="preserve"> среди представителей как бизнес-сообщества, так и органов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 печатных и электронных средствах массовой информации кампании, направленной на разъяснение мер эффективного антимонопольного регулирования, в том числе </w:t>
      </w:r>
      <w:r>
        <w:rPr>
          <w:rFonts w:ascii="Calibri" w:hAnsi="Calibri" w:cs="Calibri"/>
        </w:rPr>
        <w:lastRenderedPageBreak/>
        <w:t xml:space="preserve">размещение информационных и аналитических материалов, направленных на предупреждение нарушений антимонопольного </w:t>
      </w:r>
      <w:hyperlink r:id="rId100" w:history="1">
        <w:r>
          <w:rPr>
            <w:rFonts w:ascii="Calibri" w:hAnsi="Calibri" w:cs="Calibri"/>
            <w:color w:val="0000FF"/>
          </w:rPr>
          <w:t>законодательства</w:t>
        </w:r>
      </w:hyperlink>
      <w:r>
        <w:rPr>
          <w:rFonts w:ascii="Calibri" w:hAnsi="Calibri" w:cs="Calibri"/>
        </w:rPr>
        <w:t xml:space="preserve"> и </w:t>
      </w:r>
      <w:hyperlink r:id="rId101" w:history="1">
        <w:r>
          <w:rPr>
            <w:rFonts w:ascii="Calibri" w:hAnsi="Calibri" w:cs="Calibri"/>
            <w:color w:val="0000FF"/>
          </w:rPr>
          <w:t>законодательства</w:t>
        </w:r>
      </w:hyperlink>
      <w:r>
        <w:rPr>
          <w:rFonts w:ascii="Calibri" w:hAnsi="Calibri" w:cs="Calibri"/>
        </w:rPr>
        <w:t xml:space="preserve"> о рекламе и освещение результатов деятельности антимонопольных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государственной власти и местного самоуправления для учета замечаний и предложений ФАС России, направленных на обеспечение конкуренции при подготовке нормативных правовых актов и материалов;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товарных и финансовых рынков, необходимых для рассмотрения дел о нарушении антимонопольного законодательства;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экономической концентрации, необходимого для государственного контроля за соблюдением антимонопольного законодательства при создании, ликвидации, реорганизации или смене собственников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распределенной системы автоматизации деятельности ФАС России (ФАС Управление);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и предупреждение заключения антиконкурентных соглашений и согласованных действий хозяйствующих субъектов, приводящих к ограничению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предписаний антимонопольных органов, направленных на устранение нарушений антимонопольного законодательства;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недобросовестной конкуренции;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недобросовестной конкуренции, связанной с приобретением и использованием исключительных прав на средства индивидуализации юридического лица, индивидуализации продукции, выполняемых работ или оказываемых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фактов ненадлежащей рекламы, в том числе скрытой рекламы, которая оказывает не осознаваемое потребителем воздействие на его восприятие;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ограничивающих конкуренцию соглашений органов государственной власти и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предоставлением государственных или муниципальных преференций;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органами государственной власти и местного самоуправления предписаний антимонопольных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выявление и пресечение фактов нарушений законодательства о размещении заказов;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заказчиками выданных ФАС России предложений об устранении нарушений законодательства о размещении заказов;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инвестиционной деятельности в сферах деятельности естественных монополий (в части государственного контроля за экономической концентрацией);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сделок естественных монополий, связанных с непрофильными видами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злоупотребления доминирующим положением на рынке;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дискриминации доступа к услугам в сферах деятельности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нарушения требований об обязательности заключения договоров в сферах деятельности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сдерживающих экономически оправданный переход рынка из состояния естественной монополии в состояние конкурентного рынка;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действий естественных монополий или действий с их участием, результатом которых может являться ущемление интересов потребителей товара, в отношении которого применяется регулирование.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49" w:name="Par1232"/>
      <w:bookmarkEnd w:id="49"/>
      <w:r>
        <w:rPr>
          <w:rFonts w:ascii="Calibri" w:hAnsi="Calibri" w:cs="Calibri"/>
        </w:rPr>
        <w:t>7. Создание условий для эффективной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политики в области контроля иностранных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инвестиций в хозяйственные общества, имеющие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стратегическое значение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включает в себя следующие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проверок хозяйственных обществ, в отношении которых планируются сделки с участием иностранных инвесторов. Подготовку запросов в соответствии со </w:t>
      </w:r>
      <w:hyperlink r:id="rId102" w:history="1">
        <w:r>
          <w:rPr>
            <w:rFonts w:ascii="Calibri" w:hAnsi="Calibri" w:cs="Calibri"/>
            <w:color w:val="0000FF"/>
          </w:rPr>
          <w:t>статьей 10</w:t>
        </w:r>
      </w:hyperlink>
      <w:r>
        <w:rPr>
          <w:rFonts w:ascii="Calibri" w:hAnsi="Calibri" w:cs="Calibri"/>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 и уведомлений;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проектов соглашений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решений Правительственной комиссии по контролю за осуществлением иностранных инвестиций в Российской Федерации и направление их заявителям;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выполнения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ходатайств и уведомлений иностранных инвесторов, поданных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"О защите конкуренции", в целях предупреждения возможных нарушений;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организацию и проведение семинаров, конференций, рабочих встреч по вопросам, касающимся практики применения Федерального </w:t>
      </w:r>
      <w:hyperlink r:id="rId104"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информационное обеспечение работы Межведомственной рабочей группы по контролю за осуществлением иностранных инвестиций в Российской Федерации при Федеральной антимонопольной службе.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50" w:name="Par1247"/>
      <w:bookmarkEnd w:id="50"/>
      <w:r>
        <w:rPr>
          <w:rFonts w:ascii="Calibri" w:hAnsi="Calibri" w:cs="Calibri"/>
        </w:rPr>
        <w:t>8. Реализация проекта Международного банка реконструкции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"Поддержка судебной реформы"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"Поддержка судебной реформы" является повышение открытости, доступности и эффективности судебной системы Российской Федерации. Реализация проекта "Поддержка судебной реформы"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 способствует привлечению иностранного капитала в российскую экономику, повышает предпринимательскую активность российских предприятий. Реализация проекта "Поддержка судебной реформы" влияет на показатель подпрограммы "Оценка России в рейтинге конкурентоспособности Всемирного экономического форума".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"Поддержка судебной реформы" реализуется во исполнение </w:t>
      </w:r>
      <w:hyperlink r:id="rId10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июня 2007 г. N 361 на основании Соглашения между Российской Федерацией и Международным банком реконструкции и развития о займе для финансирования проекта "Поддержка судебной реформы", подписанного 17 июля 2007 г. и вступившего в силу 15 ноября 2007 года. Текущая дата завершения проекта "Поддержка судебной реформы" - 30 марта 2014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проекта "Поддержка судебной реформы" является повышение открытости, доступности и эффективности судебной системы Российской Федерации путем информатизации системы арбитражных судов, судов общей юрисдикции и Конституционного Суда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lang w:val="en-US"/>
        </w:rPr>
      </w:pPr>
    </w:p>
    <w:p w:rsidR="008C77ED" w:rsidRPr="008C77ED" w:rsidRDefault="008C77ED">
      <w:pPr>
        <w:widowControl w:val="0"/>
        <w:autoSpaceDE w:val="0"/>
        <w:autoSpaceDN w:val="0"/>
        <w:adjustRightInd w:val="0"/>
        <w:spacing w:after="0" w:line="240" w:lineRule="auto"/>
        <w:jc w:val="both"/>
        <w:rPr>
          <w:rFonts w:ascii="Calibri" w:hAnsi="Calibri" w:cs="Calibri"/>
          <w:lang w:val="en-US"/>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51" w:name="Par1254"/>
      <w:bookmarkEnd w:id="51"/>
      <w:r>
        <w:rPr>
          <w:rFonts w:ascii="Calibri" w:hAnsi="Calibri" w:cs="Calibri"/>
        </w:rPr>
        <w:lastRenderedPageBreak/>
        <w:t>9. Подготовка и реализация проекта Международного банка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и развития "Содействие созданию и развитию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особых экономических зон в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планируемого проекта "Содействие созданию и развитию особых экономических зон в Российской Федерации" является повышение инвестиционной привлекательности особых экономических зон Российской Федерации, обеспечение эффективного использования инструмента особых экономических зон для стимулирования развития российской экономики. Реализация проекта "Содействие созданию и развитию особых экономических зон в Российской Федерации" способствует повышению оценки иностранными и отечественными инвесторами механизма особых экономических зон, что положительно влияет на инвестиционный климат Российской Федерации. Реализация основного мероприятия будет способствовать достижению целевых значений показателей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резидентов особых экономических зон,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товаров/услуг, произведенных/оказанных резидентами особых экономических зон,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в 2013 - 2017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основного мероприятия является Минэкономразвития России.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52" w:name="Par1264"/>
      <w:bookmarkEnd w:id="52"/>
      <w:r>
        <w:rPr>
          <w:rFonts w:ascii="Calibri" w:hAnsi="Calibri" w:cs="Calibri"/>
        </w:rPr>
        <w:t>10. Формирование и развитие федеральной контрактной системы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2014 г. вступает в силу Федеральный </w:t>
      </w:r>
      <w:hyperlink r:id="rId106" w:history="1">
        <w:r>
          <w:rPr>
            <w:rFonts w:ascii="Calibri" w:hAnsi="Calibri" w:cs="Calibri"/>
            <w:color w:val="0000FF"/>
          </w:rPr>
          <w:t>закон</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указанного </w:t>
      </w:r>
      <w:hyperlink r:id="rId107" w:history="1">
        <w:r>
          <w:rPr>
            <w:rFonts w:ascii="Calibri" w:hAnsi="Calibri" w:cs="Calibri"/>
            <w:color w:val="0000FF"/>
          </w:rPr>
          <w:t>Закона</w:t>
        </w:r>
      </w:hyperlink>
      <w:r>
        <w:rPr>
          <w:rFonts w:ascii="Calibri" w:hAnsi="Calibri" w:cs="Calibri"/>
        </w:rPr>
        <w:t xml:space="preserve"> является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предполагается формирование единой информационной системы в сфере закупок,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выполнения планов и планов-графиков закупок, контроля за соблюдением законодательства Российской Федерации и иных нормативных правовых актов о федеральной контрактной системе,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3" w:name="Par1270"/>
      <w:bookmarkEnd w:id="53"/>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предполагает ряд мер государственного регулирования, которые приведены в </w:t>
      </w:r>
      <w:hyperlink w:anchor="Par8265" w:history="1">
        <w:r>
          <w:rPr>
            <w:rFonts w:ascii="Calibri" w:hAnsi="Calibri" w:cs="Calibri"/>
            <w:color w:val="0000FF"/>
          </w:rPr>
          <w:t>Приложении 3</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8403" w:history="1">
        <w:r>
          <w:rPr>
            <w:rFonts w:ascii="Calibri" w:hAnsi="Calibri" w:cs="Calibri"/>
            <w:color w:val="0000FF"/>
          </w:rPr>
          <w:t>Приложении 4</w:t>
        </w:r>
      </w:hyperlink>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4" w:name="Par1275"/>
      <w:bookmarkEnd w:id="54"/>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C65754" w:rsidRDefault="00C65754">
      <w:pPr>
        <w:widowControl w:val="0"/>
        <w:autoSpaceDE w:val="0"/>
        <w:autoSpaceDN w:val="0"/>
        <w:adjustRightInd w:val="0"/>
        <w:spacing w:after="0" w:line="240" w:lineRule="auto"/>
        <w:jc w:val="both"/>
        <w:rPr>
          <w:rFonts w:ascii="Calibri" w:hAnsi="Calibri" w:cs="Calibri"/>
          <w:lang w:val="en-US"/>
        </w:rPr>
      </w:pPr>
    </w:p>
    <w:p w:rsidR="008C77ED" w:rsidRDefault="008C77ED">
      <w:pPr>
        <w:widowControl w:val="0"/>
        <w:autoSpaceDE w:val="0"/>
        <w:autoSpaceDN w:val="0"/>
        <w:adjustRightInd w:val="0"/>
        <w:spacing w:after="0" w:line="240" w:lineRule="auto"/>
        <w:jc w:val="both"/>
        <w:rPr>
          <w:rFonts w:ascii="Calibri" w:hAnsi="Calibri" w:cs="Calibri"/>
          <w:lang w:val="en-US"/>
        </w:rPr>
      </w:pPr>
    </w:p>
    <w:p w:rsidR="008C77ED" w:rsidRPr="008C77ED" w:rsidRDefault="008C77ED">
      <w:pPr>
        <w:widowControl w:val="0"/>
        <w:autoSpaceDE w:val="0"/>
        <w:autoSpaceDN w:val="0"/>
        <w:adjustRightInd w:val="0"/>
        <w:spacing w:after="0" w:line="240" w:lineRule="auto"/>
        <w:jc w:val="both"/>
        <w:rPr>
          <w:rFonts w:ascii="Calibri" w:hAnsi="Calibri" w:cs="Calibri"/>
          <w:lang w:val="en-US"/>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5" w:name="Par1280"/>
      <w:bookmarkEnd w:id="55"/>
      <w:r>
        <w:rPr>
          <w:rFonts w:ascii="Calibri" w:hAnsi="Calibri" w:cs="Calibri"/>
        </w:rPr>
        <w:lastRenderedPageBreak/>
        <w:t>VI. Характеристика основных мероприятий, реализуемых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и на условиях, установленных Федеральным </w:t>
      </w:r>
      <w:hyperlink r:id="rId108" w:history="1">
        <w:r>
          <w:rPr>
            <w:rFonts w:ascii="Calibri" w:hAnsi="Calibri" w:cs="Calibri"/>
            <w:color w:val="0000FF"/>
          </w:rPr>
          <w:t>законом</w:t>
        </w:r>
      </w:hyperlink>
      <w:r>
        <w:rPr>
          <w:rFonts w:ascii="Calibri" w:hAnsi="Calibri" w:cs="Calibri"/>
        </w:rPr>
        <w:t xml:space="preserve"> от 22 июля 2005 г. N 116-ФЗ "Об особых экономических зонах в Российской Федерации" и </w:t>
      </w:r>
      <w:hyperlink r:id="rId109"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Минэкономразвития России делегирует высшим органам местного самоуправления субъектов Российской Федерации, в границах которых созданы особые экономические зоны, следующие полномочия по управлению особыми экономическими зонами (основное мероприятие "Развитие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функции заказчика по подготовке документации по планировке территории в границах особой экономической зоны и созданию инженерной, транспортной, социальной и иной инфраструктуры зоны за счет средств субъекта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экспертизы проектной документации и экспертизы результатов инженерных изысканий объектов, расположенных на территории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строительство, а также разрешений на ввод объектов в эксплуатацию индивидуальным предпринимателям и юридическим лицам, осуществляющим строительство или реконструкцию объектов на территории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технических условий присоединения к сетям инженерно-технического обеспечения и передача этих условий и разрешений на строительство индивидуальным предпринимателям, юридическим лицам, осуществляющим строительство или реконструкцию.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"Повышение качества оценки регулирующего воздействия и их проектов" предполагает реализацию комплекса мер, направленного на стимулирование использования субъектами Российской Федерации и органами местного самоуправления взвешенного подхода к регулированию экономической активности предпринимателей, основанного на использовании механизмов оценки регулирующего воздействия. Предусматриваются мероприятия, связанные с формированием региональных центров компетенций по оценке регулирующего воздействия, которые будут характеризоваться разработкой методических рекомендаций, внешней оценкой применения на региональном и муниципальном уровне механизмов оценки регулирующего воздействия. Эти мероприятия, однако, не являются обязательными для органов государственной власти субъектов Российской Федерации и органов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участию указанных органов в использовании лучших практик оценки регулирующего воздействия в своей деятельности предполагается в соответствии с разделом VII протокола заседания Правительственной комиссии по проведению административной реформы от 18 мая 2011 г. N 119 и разделом I протокола заседания Правительства Российской Федерации от 26 мая 2011 г. N 17 на основе одобренных подходов к дальнейшему внедрению и развитию института оценки регулирующего воздействия.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6" w:name="Par1292"/>
      <w:bookmarkEnd w:id="56"/>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учтена деятельность открытого акционерного общества "Особые экономические зоны", выполняющего функции управляющей компании в особых экономических зонах на территории Российской Федерации, направленная на достижение намеченных подпрограммой целей.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открытое акционерное общество "Особые экономические зоны" на основании </w:t>
      </w:r>
      <w:hyperlink r:id="rId110" w:history="1">
        <w:r>
          <w:rPr>
            <w:rFonts w:ascii="Calibri" w:hAnsi="Calibri" w:cs="Calibri"/>
            <w:color w:val="0000FF"/>
          </w:rPr>
          <w:t>части 2 статьи 8</w:t>
        </w:r>
      </w:hyperlink>
      <w:r>
        <w:rPr>
          <w:rFonts w:ascii="Calibri" w:hAnsi="Calibri" w:cs="Calibri"/>
        </w:rPr>
        <w:t xml:space="preserve"> Федерального закона "Об особых экономических зонах в Российской Федерации" осуществляет функцию по созданию объектов недвижимости в границах особых экономических зон и на прилегающих к ним территориях и управлению этими и ранее созданными объектами </w:t>
      </w:r>
      <w:r>
        <w:rPr>
          <w:rFonts w:ascii="Calibri" w:hAnsi="Calibri" w:cs="Calibri"/>
        </w:rPr>
        <w:lastRenderedPageBreak/>
        <w:t>недвижимости. На эти цели ежегодно законом о федеральном бюджете предусматриваются бюджетные ассигнования средств федерального бюджета в уставный капитал открытого акционерного общества "Особые экономические зоны" для непрерывного финансирования выполненных работ и оплаты авансов в соответствии с условиями заключаемых договоров.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определяется на основании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Основные показатели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включают объемы финансирования, источники и сроки создания объектов и ежегодно уточняются путем заключения дополнительных соглашений к соглашениям о создании особых экономических зон.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ежегодных бюджетных ассигнований средств федерального бюджета в уставный капитал открытого акционерного общества "Особые экономические зоны" предусматривает: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вложения открытого акционерного общества "Особые экономические зоны" в уставные капиталы дочерних акционерных обществ - управляющих компаний в особых экономических зонах;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планируемых к заключению открытым акционерным обществом "Особые экономические зоны" финансовых обязательств, для исполнения перечней (проектов перечней) подлежащих строительству объектов инженерной, транспортной и иной инфраструктуры для обустройства и соответствующего материально-технического оснащения особых экономических зон текущего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не обремененных обязательствами денежных средств для осуществления непрерывного финансирования договоров по созданию объектов особых экономических зон, заключаемых на основании проведенных конкурсных и аукционных процедур (на период с начала текущего года до ежегодного взноса акционера).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подпрограмме учтена деятельность открытого акционерного общества "Курорты Северного Кавказа", выполняющего функции управляющей компании в северокавказском туристическом кластере.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w:t>
      </w:r>
      <w:hyperlink r:id="rId111" w:history="1">
        <w:r>
          <w:rPr>
            <w:rFonts w:ascii="Calibri" w:hAnsi="Calibri" w:cs="Calibri"/>
            <w:color w:val="0000FF"/>
          </w:rPr>
          <w:t>п. 3</w:t>
        </w:r>
      </w:hyperlink>
      <w:r>
        <w:rPr>
          <w:rFonts w:ascii="Calibri" w:hAnsi="Calibri" w:cs="Calibri"/>
        </w:rPr>
        <w:t xml:space="preserve"> постановления Правительства Российской Федерации от 14 октября 2010 г. N 833 "О создании туристического кластера в Северо-Кавказском округе, Краснодарском крае и Республике Адыгея" открытое акционерное общество "Особые экономические зоны" осуществляет взнос в уставной капитал открытого акционерного общества "Курорты Северного Кавказа" на финансовое обеспечение расходных обязательств, связанных с созданием туристско-рекреационных особых экономических зон, входящих в состав Северо-Кавказского туристического кластера.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закрытого паевого инвестиционного фонда "Российский фонд прямых инвестиций" с участием государственной корпорации "Банк развития и внешнеэкономической деятельности (Внешэкономбанк)" включены в состав подпрограммы, поскольку это будет способствовать росту привлекаемых инвестиций в российскую экономику.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 юридических лиц, используемых в реализации подпрограммы, выступают средства открытого акционерного общества "Особые экономические зоны", ранее (до момента начала реализации государственной программы в 2012 году) внесенные из федерального бюджета в уставной капитал открытого акционерного общества "Особые экономические зоны".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7" w:name="Par1310"/>
      <w:bookmarkEnd w:id="57"/>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объем финансирования подпрограммы из средств федерального бюджета составит в 2013 - 2020 годах составит 82 356 503,60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Наибольший объем средств (88 процентов общего объема средств федерального бюджета, выделяемых на подпрограмму 1) или 59 286 600,00 тыс. рублей будет направлен на развитие особых экономических зон, 16 844 381,50 тыс. рублей будет направлено на совершенствование </w:t>
      </w:r>
      <w:r>
        <w:rPr>
          <w:rFonts w:ascii="Calibri" w:hAnsi="Calibri" w:cs="Calibri"/>
        </w:rPr>
        <w:lastRenderedPageBreak/>
        <w:t>контроля за применением антимонопольного законодательства.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 рамках основных мероприятий "Совершенствование корпоративного управления", "Повышение качества оценки регулирующего воздействия проектов нормативных правовых актов и их проектов", "Создание благоприятной конкурентной среды" и "Создание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 будут реализовываться за счет средств, выделяемых на содержание центрального аппарата Минэкономразвития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подпрограммы в 2013 - 2020 годах в разрезе основных мероприятий из средств федерального бюджета представлен в </w:t>
      </w:r>
      <w:hyperlink w:anchor="Par10486" w:history="1">
        <w:r>
          <w:rPr>
            <w:rFonts w:ascii="Calibri" w:hAnsi="Calibri" w:cs="Calibri"/>
            <w:color w:val="0000FF"/>
          </w:rPr>
          <w:t>Приложении 6</w:t>
        </w:r>
      </w:hyperlink>
      <w:r>
        <w:rPr>
          <w:rFonts w:ascii="Calibri" w:hAnsi="Calibri" w:cs="Calibri"/>
        </w:rPr>
        <w:t xml:space="preserve">, а 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целей государственной программы Российской Федерации приведено в </w:t>
      </w:r>
      <w:hyperlink w:anchor="Par11724" w:history="1">
        <w:r>
          <w:rPr>
            <w:rFonts w:ascii="Calibri" w:hAnsi="Calibri" w:cs="Calibri"/>
            <w:color w:val="0000FF"/>
          </w:rPr>
          <w:t>Приложении 7</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58" w:name="Par1318"/>
      <w:bookmarkEnd w:id="58"/>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групп рисков и негативных факторов.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Неопределенность в этом вопросе будет снижать интерес инвесторов вкладывать в более рискованные проекты, в связи с этим они будут придерживаться более консервативного поведения при выборе мест приложения своим капиталам.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финансирования либо финансирование в недостаточном объеме мероприятий подпрограммы, в том числе из внебюджетных источников. В этом случае будет затруднена реализация запланированных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не менее важным риском реализации подпрограммы может стать несогласованная работа с другими федеральными органами государственной власти (затруднения в выработке общей позиции федеральными органами государственной власти и ее последовательная реализация на законодательном уровне в последующем и так далее).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негативным фактором, который может существенно осложнить планы по улучшению инвестиционного климата и имиджа России, является параллельное принятие законодательных и ведомственных актов (как на федеральном, так и на региональном (муниципальном) уровне). Так, реализация данного негативного сценария может привести к избыточным административным и иным ограничениям и, соответственно, дополнительным необоснованным расходам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отметить риски, связанные с денежно-кредитной политикой Центрального банка Российской Федерации и бюджетной политикой Министерства финансов Российской Федерации. Кроме того, к этим рисками также необходимо добавить риск валютной политики, к которому также относятся вопросы оттока капитала из страны и прочее.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неполной реализации Программы развития конкуренции в Российской Федерации, предусматривающей в том числе реализацию мер по развитию конкуренции на 16 рынках и в отраслях.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регионов намерений по разработке региональных программ развития конкуренции, стратегической целью которых является выравнивание условий конкуренции в различных субъектах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31.03.2014 N 477-р утверждено </w:t>
      </w:r>
      <w:hyperlink r:id="rId112" w:history="1">
        <w:r>
          <w:rPr>
            <w:rFonts w:ascii="Calibri" w:hAnsi="Calibri" w:cs="Calibri"/>
            <w:color w:val="0000FF"/>
          </w:rPr>
          <w:t>распределение</w:t>
        </w:r>
      </w:hyperlink>
      <w:r>
        <w:rPr>
          <w:rFonts w:ascii="Calibri" w:hAnsi="Calibri" w:cs="Calibri"/>
        </w:rPr>
        <w:t xml:space="preserve"> субсидий, предоставляемых в 2014 году из федерального бюджета бюджетам субъектов </w:t>
      </w:r>
      <w:r>
        <w:rPr>
          <w:rFonts w:ascii="Calibri" w:hAnsi="Calibri" w:cs="Calibri"/>
        </w:rPr>
        <w:lastRenderedPageBreak/>
        <w:t>Российской Федерации на софинансирование капитальных вложений в объекты государственной собственности субъектов Российской Федерации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8C77ED" w:rsidRDefault="008C77ED">
      <w:pPr>
        <w:widowControl w:val="0"/>
        <w:autoSpaceDE w:val="0"/>
        <w:autoSpaceDN w:val="0"/>
        <w:adjustRightInd w:val="0"/>
        <w:spacing w:after="0" w:line="240" w:lineRule="auto"/>
        <w:jc w:val="center"/>
        <w:outlineLvl w:val="2"/>
        <w:rPr>
          <w:rFonts w:ascii="Calibri" w:hAnsi="Calibri" w:cs="Calibri"/>
          <w:lang w:val="en-US"/>
        </w:rPr>
      </w:pPr>
      <w:bookmarkStart w:id="59" w:name="Par1334"/>
      <w:bookmarkEnd w:id="59"/>
    </w:p>
    <w:p w:rsidR="00C65754" w:rsidRDefault="00C657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60" w:name="Par1337"/>
      <w:bookmarkEnd w:id="60"/>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малого и среднего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C65754" w:rsidRDefault="00C65754">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3"/>
        <w:gridCol w:w="269"/>
        <w:gridCol w:w="6447"/>
      </w:tblGrid>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69"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6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6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6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субъектов малого и среднего предпринимательства в экономике Российской Федерации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6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C65754">
        <w:tblPrEx>
          <w:tblCellMar>
            <w:top w:w="0" w:type="dxa"/>
            <w:bottom w:w="0" w:type="dxa"/>
          </w:tblCellMar>
        </w:tblPrEx>
        <w:trPr>
          <w:tblCellSpacing w:w="5" w:type="nil"/>
        </w:trPr>
        <w:tc>
          <w:tcPr>
            <w:tcW w:w="2923"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69" w:type="dxa"/>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tc>
      </w:tr>
      <w:tr w:rsidR="00C65754">
        <w:tblPrEx>
          <w:tblCellMar>
            <w:top w:w="0" w:type="dxa"/>
            <w:bottom w:w="0" w:type="dxa"/>
          </w:tblCellMar>
        </w:tblPrEx>
        <w:trPr>
          <w:tblCellSpacing w:w="5" w:type="nil"/>
        </w:trPr>
        <w:tc>
          <w:tcPr>
            <w:tcW w:w="2923"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26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 единиц.</w:t>
            </w:r>
          </w:p>
        </w:tc>
      </w:tr>
      <w:tr w:rsidR="00C65754">
        <w:tblPrEx>
          <w:tblCellMar>
            <w:top w:w="0" w:type="dxa"/>
            <w:bottom w:w="0" w:type="dxa"/>
          </w:tblCellMar>
        </w:tblPrEx>
        <w:trPr>
          <w:tblCellSpacing w:w="5" w:type="nil"/>
        </w:trPr>
        <w:tc>
          <w:tcPr>
            <w:tcW w:w="2923"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26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6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155 425 000,00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- 21 845 000,00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- 23 040 000,00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- 23 040 000,00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- 17 500 000,00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- 17 500 000,00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- 17 500 000,00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- 17 500 000,00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- 17 500 000,00 тыс. рублей</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6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923"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6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субъектов малого и среднего предпринимательства (включая индивидуальных предпринимателей) в расчете на 1 тыс. человек населения </w:t>
            </w:r>
            <w:r>
              <w:rPr>
                <w:rFonts w:ascii="Calibri" w:hAnsi="Calibri" w:cs="Calibri"/>
              </w:rPr>
              <w:lastRenderedPageBreak/>
              <w:t>Российской Федерации с 42,9 в 2012 году до 52,7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составит до 2016 года не менее 250000 ежегодно, с 2016 до 2020 года - не менее 190000 ежегодно.</w:t>
            </w:r>
          </w:p>
        </w:tc>
      </w:tr>
      <w:tr w:rsidR="00C65754">
        <w:tblPrEx>
          <w:tblCellMar>
            <w:top w:w="0" w:type="dxa"/>
            <w:bottom w:w="0" w:type="dxa"/>
          </w:tblCellMar>
        </w:tblPrEx>
        <w:trPr>
          <w:tblCellSpacing w:w="5" w:type="nil"/>
        </w:trPr>
        <w:tc>
          <w:tcPr>
            <w:tcW w:w="2923"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26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4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года - не менее 150 тыс. рабочих мест ежегодно.</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61" w:name="Par1383"/>
      <w:bookmarkEnd w:id="61"/>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Росстата и ФНС России, по состоянию на 1 января 2012 г., в Российской Федерации осуществляли деятельность 6 млн. субъектов малого и среднего предпринимательства, в том числе 4,1 млн. индивидуальных предпринимателей. В секторе малого и среднего предпринимательства (без внешних совместителей) занято 17,8 млн. человек, что составляет более 25 процентов от экономически активного населения Российской Федерации. Таким образом, каждый четвертый работник в целом по России в настоящее время занят в секторе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лет в отношении малого и среднего предпринимательства в Российской Федерации было достигнуто главное - осознание значимости состояния и уровня развития малого и среднего бизнеса для качественного роста российской экономики, его роли в решении поставленной задачи обеспечения структурной диверсификации и экономического развития страны по инновационному пути, предполагающему создание максимально благоприятных условий для предпринимательской инициативы.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малого и среднего бизнеса официально признано одним из ключевых приоритетов социальной и экономической политики государства, задан ориентир будущих реформ (прежде всего Концепцией долгосрочного социально-экономического развития Российской Федерации на период до 2020 года). При этом особое внимание уделено поддержке малого и среднего бизнеса в высокотехнологичных секторах (устранение препятствий для эффективной коммерциализации результатов интеллектуальной деятельности, субсидирование реализации мероприятий по стимулированию инновационной активности малых компаний субъектами Российской Федерации, создание инновационного центра "Сколково" и т.д.).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инициативы, реализованные в Российской Федерации в 2008 - 2012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2008 - 2012 годах уделялось контролю правоприменительной практики, которая показала, что запланированный результат мер поддержки малого и среднего бизнеса прямо обусловлен эффективностью их применения на практике. Имеют место негативные прецеденты неисполнения принятого законодательства представителями органов государственной власти и органов местного самоуправления (наиболее показателен пример с льготной приватизацией государственного и муниципального имущества).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"донастройка" созданной в развитие Федерального </w:t>
      </w:r>
      <w:hyperlink r:id="rId113" w:history="1">
        <w:r>
          <w:rPr>
            <w:rFonts w:ascii="Calibri" w:hAnsi="Calibri" w:cs="Calibri"/>
            <w:color w:val="0000FF"/>
          </w:rPr>
          <w:t>закона</w:t>
        </w:r>
      </w:hyperlink>
      <w:r>
        <w:rPr>
          <w:rFonts w:ascii="Calibri" w:hAnsi="Calibri" w:cs="Calibri"/>
        </w:rPr>
        <w:t xml:space="preserve"> "О развитии малого и среднего предпринимательства в Российской Федерации" нормативно-правовой базы с учетом правоприменительной практики;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работы по публичному мониторингу реализации в субъектах Российской Федерации принятых государственных мер в области развития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общественного обсуждения (мониторинга)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ведомственных программ поддержки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Российской Федерации. Ядром национальной инновационной системы и залогом ее конкурентоспособности должна стать развитая сеть отраслевых инновационных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сегодня принципиальная позиция государства - не оставаться в стороне от накопленного опыта поддержки малого и среднего предпринимательства в странах, в которых качественный вклад малого и среднего бизнеса в развитие экономики несопоставимо выше, чем в текущее время в Российской Федерации. Важно систематически изучать и внедрять лучшие практики их решения, успешно апробированные другими развитыми странами, в первую очередь, в части развития инновационно-технологического потенциала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сложившаяся отраслевая структура российского малого и среднего бизнеса не отвечает задачам модернизации экономики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странах малый и средний бизнес является основным источником создания новых рабочих мест - до 80 процентов от всех работающих. В среднем по странам Евросоюза - около 68 процентов всех занятых в экономике - работники субъектов малого и среднего предпринимательства. В России в 2011 году аналогичный показатель составил 25,2 процента (с учетом занятых у индивидуальных предпринимателей) от общего числа занятых в экономике, то есть практически в 2,5 раза меньше.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численности субъектов малого и среднего предпринимательства на 1 тыс. человек населения в среднем по Российской Федерации - чуть выше 40 предпринимательских единиц, что сопоставимо с общеевропейским уровнем стран Евросоюза, но ниже, чем в других развитых странах (например, Португалия - 81 субъект малого и среднего предпринимательства на 1 тыс. человек жителей, Греция - 76 единиц малого и среднего предпринимательства, Италия - 66 единиц, Швеция - 60 единиц, Испания - 59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идентичность отраслей экономики, в которых занято подавляющее большинство субъектов малого и среднего предпринимательства как в Российской Федерации, так и в странах Евросоюза: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и розничная торговля (38 процентов - в России и 31 процент - в среднем в странах Евросоюза от общего числа всех субъектов малого и среднего предпринимательства, работающих в различных отраслях);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(17,9 процента и 29 процентов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(12,1 процента и 14 процентов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обрабатывающие производства (10,5 процента и 11 процентов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российском секторе малого и среднего предпринимательства первое место по численности малых и средних предприятий занимает сфера оптовой и розничной торговли (38 процентов), которая многократно превышает доли малых и средних компаний в других отраслях. В странах Евросоюза в указанной сфере тоже ведет деятельность существенная часть субъектов малого и среднего предпринимательства (особенно это касается микропредприятий). Но в отличие от российской специфики общая численность малого и среднего предпринимательства в торговле фактически равна доле хозяйствующих субъектов, осуществляющих предоставление </w:t>
      </w:r>
      <w:r>
        <w:rPr>
          <w:rFonts w:ascii="Calibri" w:hAnsi="Calibri" w:cs="Calibri"/>
        </w:rPr>
        <w:lastRenderedPageBreak/>
        <w:t>услуг (31 процент и 29 процентов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сложившаяся отраслевая структура малого и среднего бизнеса в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создание условий и факторов, способствующих развитию малого и среднего предпринимательства в Российской Федерации, включая: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и имущественной поддержки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банков и банковских продуктов, целевой аудиторией которых являются субъекты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подключение субъектов малого и среднего предпринимательства в коммунальной и энергетической инфраструктуре;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и правового регулирования сферы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инновационных и экспортно-ориентированных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малого и среднего предпринимательства в экономику Российской Федерации, а также количества малых инновационных предприятий в среднесрочной перспективе обусловлено следующими факторами: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мероприятий при реализации подпрограммы,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законодательство, позволяющих создавать на базе высших учебных заведений малые инновационные предприятия, а также облегчение процедуры получения патента для защиты интеллектуальной собственности, что позволит осуществить коммерциализацию научных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аренду малым и средним предприятиям имущества, находящегося в федеральной и региональной собственности, в том числе возможность приватизации государственного и муниципального имущества.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62" w:name="Par1427"/>
      <w:bookmarkEnd w:id="62"/>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3" w:name="Par1433"/>
      <w:bookmarkEnd w:id="63"/>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Концепцией долгосрочного социально-экономического развития Российской Федерации на период до 2020 года в число выбранных приоритетов вошли следующие направления: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лидерства и инноваций, в соответствии с которыми будут сформированы условия для массового появления новых инновационных предприятий во всех секторах экономики, и в первую очередь в сфере экономики знаний;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высококонкурентной институциональной среды, стимулирующей </w:t>
      </w:r>
      <w:r>
        <w:rPr>
          <w:rFonts w:ascii="Calibri" w:hAnsi="Calibri" w:cs="Calibri"/>
        </w:rPr>
        <w:lastRenderedPageBreak/>
        <w:t>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структурная диверсификация экономики на основе инновационного технологического развития за счет формирования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модели пространственного развития российской экономики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 благоприятными условиями для массового появления новых предприятий, в том числе в инновационных секторах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институциональной среды инновационного развития необходимо осуществить ряд мер институционального характера для содействия развитию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должны включать в себя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развитии базовых отраслей промышленности приоритетными направлениями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 В этой связи необходимо осуществить следующие меры: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4" w:name="Par1448"/>
      <w:bookmarkEnd w:id="64"/>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развитие малого и среднего предпринимательства в Российской Федерации является одной из основных задач развития экономики Российской Федерации, при реализации подпрограммы выделена следующая основная цель - увеличение доли субъектов малого и среднего предпринимательства в экономике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доступности инфраструктуры поддержки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индикаторы, характеризующие общее развитие предпринимательства в Российской Федерации, и индикаторы, позволяющие оценить непосредственно реализацию мероприятий, осуществляемых в рамках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"Развитие малого и среднего предпринимательства" (ежегодно), тыс.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5" w:name="Par1462"/>
      <w:bookmarkEnd w:id="65"/>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42,9 в 2012 году до 52,7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составит до 2016 года не менее 250 000 ежегодно, с 2016 по 2020 года - не менее 190 000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ежегодно, с 2016 до 2020 года - не менее 150 тыс. рабочих мест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6" w:name="Par1470"/>
      <w:bookmarkEnd w:id="66"/>
      <w:r>
        <w:rPr>
          <w:rFonts w:ascii="Calibri" w:hAnsi="Calibri" w:cs="Calibri"/>
        </w:rPr>
        <w:t>4. Сроки и этапы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2013 по 2020 год (в один этап).</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67" w:name="Par1474"/>
      <w:bookmarkEnd w:id="67"/>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два основных мероприятия - "Федеральная финансовая программа поддержки малого и среднего предпринимательства" и "Совершенствование законодательства в сфере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8" w:name="Par1478"/>
      <w:bookmarkEnd w:id="68"/>
      <w:r>
        <w:rPr>
          <w:rFonts w:ascii="Calibri" w:hAnsi="Calibri" w:cs="Calibri"/>
        </w:rPr>
        <w:t>1. Федеральная финансовая программа поддержки малого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финансовая программа поддержки малого и среднего предпринимательства (далее - федеральная программа) реализуется Минэкономразвития России с 2005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целевым образом на конкурсной основе распределяются между регионами на мероприятия региональных программ содействия предпринимательству. Средний уровень софинансирования расходного обязательства субъекта Российской Федерации равен 70 процентам.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предоставления федеральных субсидий региональным правительствам на поддержку малого и среднего предпринимательства установлен </w:t>
      </w:r>
      <w:hyperlink r:id="rId114" w:history="1">
        <w:r>
          <w:rPr>
            <w:rFonts w:ascii="Calibri" w:hAnsi="Calibri" w:cs="Calibri"/>
            <w:color w:val="0000FF"/>
          </w:rPr>
          <w:t>постановлением</w:t>
        </w:r>
      </w:hyperlink>
      <w:r>
        <w:rPr>
          <w:rFonts w:ascii="Calibri" w:hAnsi="Calibri" w:cs="Calibri"/>
        </w:rPr>
        <w:t xml:space="preserve"> Правительством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реализации федеральной программы является право субъекта Российской Федерации подать заявку на любые наиболее приоритетные и востребованные мероприятия, утвержденные региональной программой поддержки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федеральной программы является увеличение количества созданных субъектов малого и среднего предпринимательства, а также количества созданных и сохраненных рабочих мест.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2009 года объем финансирования федеральной программы был незначителен - максимальный размер средств, выделяемых из федерального бюджета, составлял 3,61 млрд. рублей. В период с 2005 года по 2008 год проходила апробация международного опыта и "настройка" мер государственной поддержки малого и среднего предпринимательства, реализуемых за счет средств федеральной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рост финансовой помощи субъекта малого и среднего предпринимательства произошел в 2009 году, когда расходы Российской Федерации на развитие сектора выросли в пять раз - до 18,63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в 2009 году средств федерального бюджета связано в первую очередь с реализацией антикризисных мероприятий, направленных на поддержку занятости населения и содействие началу собственного бизнеса, а также обеспечение доступа уже существующих субъектов малого и среднего предпринимательства к кредитным ресурсам и уменьшение стоимости таких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приоритеты федеральной программы значительно изменились - основными мероприятиями поддержки стали содействие малому инновационному предпринимательству, поддержка малых компаний, заключивших договоры лизинга оборудования, поддержка экспортно-ориентированных компаний. При этом сохранены наиболее востребованные направления: грантовая поддержка, поддержка микрофинансирования, предоставление гарантий, создание специализированной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действуют новые меры поддержки. Так, главный приоритет программы - обеспечение доступа к финансовым ресурсам малых компаний с численностью занятых свыше 35 человек, являющихся лидерами региональных экономик.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них разработаны меры, направленные в первую очередь на поддержку модернизации производства: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процентных ставок по кредитам;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расходов на приобретение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расходов по лизингу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компаний с численностью свыше 35 человек, занятых в инновационной сфере, увеличены предельные объемы поддержки с 5 млн. рублей до 15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поддержки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развитие лизинга и модернизация производства.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лизинга оборудования субъектами малого и среднего предпринимательства планируется осуществлять за счет предоставления субсидий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субъектом малого и среднего предпринимательства процентов по лизинговым договорам;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субъектом малого и среднего предпринимательства первого взноса при заключении договора лизинга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целевых грантов начинающим субъектам малого и среднего предпринимательства на создание собственного дела - субсидий вновь зарегистрированным и действующим на момент принятия решения о предоставлении субсидии не менее одного года индивидуальным предпринимателям и юридическим лицам на безвозмездной и безвозвратной </w:t>
      </w:r>
      <w:r>
        <w:rPr>
          <w:rFonts w:ascii="Calibri" w:hAnsi="Calibri" w:cs="Calibri"/>
        </w:rPr>
        <w:lastRenderedPageBreak/>
        <w:t>основе на условиях долевого финансирования целевых расходов на уплату первого взноса при заключении договора лизинга оборудования в размере, не превышающем 1 млн. рублей на одного получателя поддержки - юридического лица или индивидуального предпринимателя.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предусмотрены субсидирование процентной ставки по кредитам, взятым на реализацию модернизационных проектов, и компенсация расходов на приобретение оборудования - до 10 млн. рублей на одного получателя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создание (капитализация) региональных гарантийных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создания (капитализации) региональных фондов поручительств (гарантийных фондов) по обязательствам субъектов малого и среднего предпринимательства подразумевает под собой создание (капитализацию) региональных фондов поручительств.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видом деятельности гарантийного фонда является предоставление поручительств по обязательствам (кредитам, займам, договорам лизинга и прочее) малых предприятий. Максимальный размер предоставляемого поручительства не превышает 70 процентов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гранты начинающим собственное дело.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начинающим малым предприятиям на создание собственного дела предоставляются в форме субсидий индивидуальным предпринимателям и юридическим лицам - производителям товаров, работ, услуг, на безвозмездной и безвозвратной основе на условиях долевого финансирования целевых расходов, связанных с началом предпринимательской деятельности, в размере не более 300 тыс. рублей на одного получателя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грантов являются вновь зарегистрированные или действующие менее одного года субъекты малого и среднего предпринимательства, прошедшие краткосрочное обучение основам предпринимательской деятельности и представившие бизнес-проект.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развитие микрофинансирования.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развитию микрофинасовых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так далее).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должны превышать 1 млн. рублей, а срок займа - не более 12 месяцев.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 поддержка малых инновационных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инновационных компаний будет осуществляться за счет предоставления субсидий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малым компаниям, создаваемым при высших учебных заведениях, а также предоставление грантов на создание малой инновационной компании субъектами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образовательных программ для малых инновационных предприятий (предоставление субъектам малого и среднего предпринимательства образовательных услуг, связанных с подготовкой, переподготовкой и повышением квалификации в сфере деятельности малой инновационной компании (в форме предоставления сертификатов, субсидий для частичной оплаты образовательных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действующих малых инновационных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w:t>
      </w:r>
      <w:r>
        <w:rPr>
          <w:rFonts w:ascii="Calibri" w:hAnsi="Calibri" w:cs="Calibri"/>
        </w:rPr>
        <w:lastRenderedPageBreak/>
        <w:t>предусматривающих экспонирование и показ;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приобретению машин и оборудования, связанных с технологическими инновациями; приобретению новых технологий (в том числе прав на патенты, лицензии на использование изобретений, промышленных образцов, полезных моделей) и тому подобное;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процентной ставки по кредитам малых инновационных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гранта составляет не более 0,5 млн. рублей на одного получателя поддержки - юридическое лицо. Размер субсидии действующим инновационным компаниям составляет не более 5 млн. рублей на одну компанию.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 поддержка муниципальных программ развития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поддержки муниципальных программ ориентирована на реализацию приоритетных направлений поддержки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муниципальных программ осуществляется за счет реализации следующих основных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 начало собственного дела;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микрозаймов;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основам предпринимательской деятельности и так далее;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реализацию программ повышения энергоэффективности производства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внедрения в деловую практику заключения энергосервисных договоров и проведения энергетических обследований).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оказывается поддержка муниципальных программ развития малого и среднего предпринимательства в монопрофильных населенных пунктах за счет реализации следующих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 поддержки предпринимательства или бизнес-инкубатора;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начинающим предпринимателям на создание собственного дела, в том числе грантов на погашение первого взноса по уплате лизинговых платежей;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капитализация микрофинансовых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программ по обучению начинающих предпринимателей;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связанных с уплатой субъектами малого и среднего предпринимательства процентов по лизинговым договорам, подключение к объектам электросетевого хозяйства и так далее;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маркетинговые исследования, включая оценку инвестиционной среды, выставочно-ярмарочная деятельность, статьи, телевизионные передачи, популяризирующие предпринимательскую деятельность в городе.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Седьмое - создание и развитие сети объектов инфраструктуры малого и среднего предпринимательства (бизнес-инкубаторов, промышленных парков и технопарков).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объектов инфраструктуры поддержки малого и среднего предпринимательства (бизнес-инкубаторов, технопарков, промышленных парков, центров кластерного развития) позволит обеспечить реализацию высокотехнологичных проектов модернизации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Восьмое - содействие вовлечению в предпринимательскую деятельность.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осуществляется за счет направления средств субсидий на осуществление следующих основных направлений: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молодежного предпринимательства, популяризация предпринимательства, повышение предпринимательских компетенций, 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w:t>
      </w:r>
      <w:r>
        <w:rPr>
          <w:rFonts w:ascii="Calibri" w:hAnsi="Calibri" w:cs="Calibri"/>
        </w:rPr>
        <w:lastRenderedPageBreak/>
        <w:t>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частичной оплаты образовательных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микропредприятий (школы молодежного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 федеральной программе реализуются и другие направления поддержки, такие как поддержка экспортно-ориентированных субъектов малого и среднего предпринимательства, развитие системы подготовки, переподготовки и повышения квалификации кадров для сферы малого предпринимательства, мероприятия по повышению энергоэффективности производства малых компаний и т.д.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подход позволил обеспечить в 2012 году эффективное функционирование 83 гарантийных фондов, 69 микрофинансовых организаций, а также 108 бизнес-инкубаторов. Кроме того, по программе уже действуют промышленный парк в Республике Татарстан (Камский индустриальный парк "Мастер", г. Набережные Челны) и Белгородской области, технопарк в Пензенской области. По итогам 2012 года в стране будут действовать 30 центров поддержки субъектов малого и среднего предпринимательства в области инноваций и промышленного производства.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федеральной программы с 2013 года будет поддерживаться ежегодно более 250 тыс. человек, которые будут ежегодно создавать не менее 200 тыс. новых рабочих мест, работающих в основном в неторговом секторе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реализации федеральной программы подтверждается объективными факторами.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данным исследования Общероссийской общественной организации малого и среднего предпринимательства "ОПОРА РОССИИ", две трети предпринимателей отмечают как проблему изношенность оборудования. При этом каждая четвертая компания использует устаревшее оборудование. Программа мероприятий по развитию системы лизинга оборудования субъектами малого и среднего предпринимательства, реализуемая Минэкономразвития России, помогает субъектам малого и среднего предпринимательства решать данную проблему.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соответствии с исследованиями рейтингового агентства "Эксперт РА" объем рынка кредитования на инновационные и модернизационные цели к концу 2012 года составил около 450 млрд. рублей из оценочных 6 трлн. рублей общего кредитования малого и среднего предпринимательства в стране. Создаваемые по федеральной программе гарантийные фонды обеспечивают доступ субъектам малого и среднего предпринимательства к кредитным и иным финансовым ресурсам в первую очередь на реализацию модернизационных проектов. Также стимулирующей мерой по привлечению кредитов на перевооружение собственного производства является возможность субсидирования процентов по указанным кредитам.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исследованием Российского микрофинансового центра потенциальный объем рынка микрофинансовых услуг в Российской Федерации составляет порядка 300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аналитическим данным, размер рынка микрофинансирования в России на начало 2013 года составил около 37 млрд. рублей, из них на микрокредитование бизнеса направлено около 60 процентов от совокупного портфеля микрозаймов (включая микрофинансовые организации и кредитные кооперативы). Таким образом, спрос на микрозаймы в настоящее время превышает предложение более чем в 9 раз. Среднерыночная процентная ставка по микрозаймам составляет порядка 27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 созданные по федеральной программе, предоставляют микрозаймы по процентной ставке на уровне 10 - 12 процентов и охватывают более 20 процентов рынка микрофинансирования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грантовой поддержки на начало собственной деятельности является одним из основных факторов сдерживания и (или) снижения безработицы в регионах со сложной экономической ситуацией, в первую очередь в Северо-Кавказском федеральном округе.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69" w:name="Par1554"/>
      <w:bookmarkEnd w:id="69"/>
      <w:r>
        <w:rPr>
          <w:rFonts w:ascii="Calibri" w:hAnsi="Calibri" w:cs="Calibri"/>
        </w:rPr>
        <w:lastRenderedPageBreak/>
        <w:t>2. Совершенствование законодательства в сфере малого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предусматривается реализация ряда мероприятий, направленных на совершенствование правового обеспечения в сфере малого и среднего предпринимательства,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упрощенных стандартов бухгалтерской отчетности;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Банка России, регулирующей ведение кассовых операций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специальных режимов налогообложения;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сфере ведения бухгалтерского учета субъектами малого и среднего предпринимательства.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0" w:name="Par1570"/>
      <w:bookmarkEnd w:id="70"/>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налогового, таможенного и иные, кроме нормативно-правового государственного регулирования, в сфере реализации подпрограммы не предусмотрены.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планируется осуществить ряд мер нормативно-правового регулирования,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порядок конкурсного отбора субъектов Российской Федерации, бюджетам которых предоставляются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приоритетные мероприятия при реализации федеральной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законодательство по отчуждению государственного и муниципального имущества, выкупаемого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принять упрощенные стандарты бухгалтерской отчетности;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нормативно-правовую базу Банка России, регулирующую ведение кассовых операций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трудовое законодательство, регулирующее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повысить доступность финансовых ресурсов для субъектов малого и среднего </w:t>
      </w:r>
      <w:r>
        <w:rPr>
          <w:rFonts w:ascii="Calibri" w:hAnsi="Calibri" w:cs="Calibri"/>
        </w:rPr>
        <w:lastRenderedPageBreak/>
        <w:t>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малое и среднее предпринимательство в отдельных отраслях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системы специальных режимов налогообложения;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методику проведения выборочных статистических наблюдений за деятельностью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принципы и механизмы передачи на аутсорсинг работ (услуг) компаниям с государственным участием, утвердившим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нормативно-правовое регулирование в сфере ведения бухгалтерского учета субъектами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1" w:name="Par1590"/>
      <w:bookmarkEnd w:id="71"/>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федеральными государственными учреждениями государственных услуг (работ) в рамках подпрограммы не предусмотрено.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2" w:name="Par1595"/>
      <w:bookmarkEnd w:id="72"/>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"Развитие малого и среднего предпринимательства" осуществляется в соответствии с </w:t>
      </w:r>
      <w:hyperlink r:id="rId1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предусмотренные на государственную поддержку малого и среднего предпринимательства, предоставляются Минэкономразвития России на конкурсной основе бюджетам субъектов Российской Федерации в виде субсидий для финансирования мероприятий, перечисленных в </w:t>
      </w:r>
      <w:hyperlink w:anchor="Par304" w:history="1">
        <w:r>
          <w:rPr>
            <w:rFonts w:ascii="Calibri" w:hAnsi="Calibri" w:cs="Calibri"/>
            <w:color w:val="0000FF"/>
          </w:rPr>
          <w:t>разделе III</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софинансирование мероприятий предоставляются субъекту Российской Федерации при наличии утвержденной региональной программы развития малого и среднего предпринимательства и (или) муниципальной программы развития малого и среднего предпринимательства, подтверждении наличия в бюджете субъекта Российской Федерации средств на финансирование мероприятий, предоставлении отчетности о выполнении условий конкурсного отбора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при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конкурсного отбора субъектов Российской Федерации, бюджетам которых предоставляются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 нормативного правового акта Правительства Российской Федерации о распределении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формы и сроки представления документов, необходимых для получения субсидий,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форму соглашения между Минэкономразвития России и высшим исполнительным органом государственной власти субъекта Российской Федерации о предоставлении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утверждает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форму и срок представления в Минэкономразвития России заявки на </w:t>
      </w:r>
      <w:r>
        <w:rPr>
          <w:rFonts w:ascii="Calibri" w:hAnsi="Calibri" w:cs="Calibri"/>
        </w:rPr>
        <w:lastRenderedPageBreak/>
        <w:t>перечисление субсидии, предусмотренной субъекту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 конкурсной комиссии по отбору субъектов Российской Федерации, бюджетам которых предоставляются субсидии.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регионам осуществляется конкурсной комиссией, в которую включены представители ведущих общественных объединений предпринимателей - Общероссийской общественной организации малого и среднего предпринимательства "ОПОРА РОССИИ", Общероссийской общественной организации "Деловая Россия", Торгово-промышленной палаты Российской Федерации и заинтересованных министерств.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объем средств субсидий, направленных на поддержку субъектов малого и среднего предпринимательства по программе Минэкономразвития России, составил 26,37 млрд. рублей. В том числе за счет средств федерального бюджета - 17,82 млрд. рублей; за счет средств регионального бюджета - 8,7 млрд. рублей. Прогнозная оценка расходов консолидированных бюджетов субъектов Российской Федерации на реализацию мероприятий подпрограммы составляет 66,6 млрд. рублей. Указанные выше средства региональных бюджетов рассчитаны исходя из среднего уровня софинансирования расходного обязательства субъекта Российской Федерации, составляющего примерно 70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6" w:history="1">
        <w:r>
          <w:rPr>
            <w:rFonts w:ascii="Calibri" w:hAnsi="Calibri" w:cs="Calibri"/>
            <w:color w:val="0000FF"/>
          </w:rPr>
          <w:t>статьей 269</w:t>
        </w:r>
      </w:hyperlink>
      <w:r>
        <w:rPr>
          <w:rFonts w:ascii="Calibri" w:hAnsi="Calibri" w:cs="Calibri"/>
        </w:rPr>
        <w:t xml:space="preserve"> Бюджетного кодекса Российской Федерации Минэкономразвития России, как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Минэкономразвития России в соответствии с </w:t>
      </w:r>
      <w:hyperlink r:id="rId1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ежегодно осуществляется оценка результативности предоставления субсидий на основании представленных уполномоченными органами субъектов Российской Федерации отчетов о достижении значений показателей результативности предоставления субсидий.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3" w:name="Par1615"/>
      <w:bookmarkEnd w:id="73"/>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подпрограммы является реализуемая Государственной корпорацией "Банк развития и внешнеэкономической деятельности (Внешэкономбанк)" через дочерний банк ОАО "МСП Банк" программа финансовой поддержки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субъектов малого и среднего предпринимательства долгосрочными и доступными кредитными ресурсами и иными видами поддержки на всей территории Российской Федерации, а также изменение отраслевой структуры малого и среднего предпринимательства за счет приоритетного финансирования неторгового и инновационного сектора.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во всех 83 субъектах Российской Федерации, через широкую сеть партнеров (за время реализации программы более 300).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расширения финансовой поддержки малого и среднего предпринимательства ОАО "МСП Банк" разрабатывает направление "Инновации, модернизация и энергоэффективность" по доведению средств по двухуровневой системе для производственных секторов экономики, а также области современных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средств на данную программу предоставлен ОАО "МСП Банк" из Фонда национального благосостояния на срок до конца 2017 года. В течение 2016 - 2017 годов Минэкономразвития России будет проводить анализ эффективности деятельности данной программы для принятия дальнейшего решения о целесообразности ее финансирования.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4" w:name="Par1627"/>
      <w:bookmarkEnd w:id="74"/>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приоритетные направления подпрограммы, включающие около 50 направлений поддержки, ориентированы, в первую очередь, на стимулирование инновационной активности малых компаний субъектами Российской Федерации, содействие модернизации производства компаний, на повышение конкурентоспособности малых и средних предприятий, повышение образовательного уровня предпринимателей, менеджеров, молодежи по специальным образовательным программам.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из средств федерального бюджета, необходимых для реализации подпрограммы, за период 2013 - 2020 годов составит 155425,0 млн. рублей. При условии дополнительного финансирования подпрограммы в объеме 5540,0 млн. рублей ежегодно в течение 2016 - 2020 годов, необходимый объем средств федерального бюджета за период 2013 - 2020 годов составит 183125,0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подпрограммы за счет средств федерального бюджета, а также ресурсное обеспечение и прогнозная (справочная) оценка расходов федерального бюджета, консолидированных бюджетов субъектов Российской Федерации и юридических лиц на реализацию подпрограммы отражены в </w:t>
      </w:r>
      <w:hyperlink w:anchor="Par10486" w:history="1">
        <w:r>
          <w:rPr>
            <w:rFonts w:ascii="Calibri" w:hAnsi="Calibri" w:cs="Calibri"/>
            <w:color w:val="0000FF"/>
          </w:rPr>
          <w:t>Приложениях 6</w:t>
        </w:r>
      </w:hyperlink>
      <w:r>
        <w:rPr>
          <w:rFonts w:ascii="Calibri" w:hAnsi="Calibri" w:cs="Calibri"/>
        </w:rPr>
        <w:t xml:space="preserve"> и </w:t>
      </w:r>
      <w:hyperlink w:anchor="Par11724" w:history="1">
        <w:r>
          <w:rPr>
            <w:rFonts w:ascii="Calibri" w:hAnsi="Calibri" w:cs="Calibri"/>
            <w:color w:val="0000FF"/>
          </w:rPr>
          <w:t>7</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расходы федерального бюджета на государственную поддержку малого и среднего предпринимательства ориентировочно составят 17 500,0 млн. рублей, в том числе по целевой статье расходов "Субсидии на государственную поддержку малого и среднего предпринимательства, включая крестьянские (фермерские) хозяйства" - 15 600,0 млн. рублей, по целевой статье расходов "Бюджетные инвестиции в объекты капитального строительства государственной собственности субъектов Российской Федерации" - 1 900,0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дополнительная потребность в средствах федерального бюджета, необходимая для сохранения уровня финансирования 2014 года, составит 5540,0 млн. рублей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перечнем поручений по итогам встречи Президента Российской Федерации с представителями Общероссийской общественной организации малого и среднего предпринимательства "ОПОРА РОССИИ" от 11 декабря 2012 г. N Пр-3336 должны быть разработаны предложения по дополнительным мерам стимулирования развития малого и среднего предпринимательства, в том числе по докапитализации гарантийных фондов, предоставляющих субъектам малого и среднего предпринимательства поручительства по кредитам и займам, направляемым на модернизацию производства и компенсацию расходов на приобретение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ежегодного финансирования в объемах меньше указанных не позволит поддержать такие приоритетные направления программы, как: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содействия малому инновационному предпринимательству (гранты инновационным компаниям; предоставление субсидий действующим инновационным компаниям на компенсацию затрат по разработке новых продуктов, услуг и методов их производства (передачи), новых производственных процессов; реализация специальных образовательных программ для малых инновационных предприятий; создание инфраструктуры поддержки субъектов малого и среднего предпринимательства в области инноваций и промышленного производства; поддержка продвижения инновационной продукции - субсидии компаниям на участие в выставках, поддержка "деловых миссий") - 2000,0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компаний (субсидирование субъектов малого и среднего предпринимательства на уплату процентов по кредитам, привлеченным в российских кредитных организациях,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повышение энергоэффективности производства субъектов малого и среднего предпринимательства, субсидии на технологическое присоединение к объектам электросетевого хозяйства) - 1500,0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лизинг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w:t>
      </w:r>
      <w:r>
        <w:rPr>
          <w:rFonts w:ascii="Calibri" w:hAnsi="Calibri" w:cs="Calibri"/>
        </w:rPr>
        <w:lastRenderedPageBreak/>
        <w:t>технологий субъектов малого и среднего предпринимательства - 1540,0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монопрофильные города, в которых реализуются программы содействия развитию предпринимательства - 500,0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недостаточное бюджетное финансирование приведет к тому, что указанные приоритетные направления будут закрыты и не исполнено поручение Президента Российской Федерации. Как следствие, снизится влияние программы на обеспечение занятости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условиях растущего спроса на финансовую поддержку со стороны субъектов малого и среднего предпринимательства может снизиться капитализация региональных гарантийных фондов и микрофинансовых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государственную поддержку не смогут получить ежегодно более 60 тыс. субъектов малого и среднего предпринимательства и создать дополнительно 50 тыс. новых рабочих мест (включая вновь зарегистрированных индивидуальных предпринимателей).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составит 29,3 процента вместо 30 процентов с учетом дополнительных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не достигнет отметки в 54,6 предпринимательских единиц на 1 тыс. человек населения Российской Федерации (52,7 единиц - без дополнительных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вышеизложенным, возможность обеспечения непосредственной результативности уровня показателей не ниже, чем 250 тыс. предпринимателей получателей поддержки и создание 200 тыс. новых рабочих мест напрямую зависит от объемов финансирования, определенных на уровне 2013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поручением Президента Российской Федерации от 14 марта 2011 г. N Пр-634 Минэкономразвития России осуществляет ежегодный мониторинг эффективности реализации федеральной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проведенного по итогам реализации федеральной программы в 2010 и 2011 годах, позволяют сделать вывод, что при снижении уровня ежегодного финансирования программы пропорционально произойдет снижение количества рабочих мест, создаваемых в рамках программы, что напрямую влияет на достижение целевых показателей (индикаторов), характеризующих реализацию данной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5" w:name="Par1650"/>
      <w:bookmarkEnd w:id="75"/>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Минэкономразвития России требуемых средств на реализацию подпрограммы. В этом случае не будут осуществлен ряд мероприятий подпрограммы (развитие малого и среднего предпринимательства в монопрофильных муниципальных образованиях и в Северо-Кавказском федеральном округе,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поддержка молодежного предпринимательства, создание инфраструктуры поддержки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C65754" w:rsidRDefault="00C65754">
      <w:pPr>
        <w:widowControl w:val="0"/>
        <w:autoSpaceDE w:val="0"/>
        <w:autoSpaceDN w:val="0"/>
        <w:adjustRightInd w:val="0"/>
        <w:spacing w:after="0" w:line="240" w:lineRule="auto"/>
        <w:jc w:val="both"/>
        <w:rPr>
          <w:rFonts w:ascii="Calibri" w:hAnsi="Calibri" w:cs="Calibri"/>
          <w:lang w:val="en-US"/>
        </w:rPr>
      </w:pPr>
    </w:p>
    <w:p w:rsidR="008C77ED" w:rsidRDefault="008C77ED">
      <w:pPr>
        <w:widowControl w:val="0"/>
        <w:autoSpaceDE w:val="0"/>
        <w:autoSpaceDN w:val="0"/>
        <w:adjustRightInd w:val="0"/>
        <w:spacing w:after="0" w:line="240" w:lineRule="auto"/>
        <w:jc w:val="both"/>
        <w:rPr>
          <w:rFonts w:ascii="Calibri" w:hAnsi="Calibri" w:cs="Calibri"/>
          <w:lang w:val="en-US"/>
        </w:rPr>
      </w:pPr>
    </w:p>
    <w:p w:rsidR="008C77ED" w:rsidRDefault="008C77ED">
      <w:pPr>
        <w:widowControl w:val="0"/>
        <w:autoSpaceDE w:val="0"/>
        <w:autoSpaceDN w:val="0"/>
        <w:adjustRightInd w:val="0"/>
        <w:spacing w:after="0" w:line="240" w:lineRule="auto"/>
        <w:jc w:val="both"/>
        <w:rPr>
          <w:rFonts w:ascii="Calibri" w:hAnsi="Calibri" w:cs="Calibri"/>
          <w:lang w:val="en-US"/>
        </w:rPr>
      </w:pPr>
    </w:p>
    <w:p w:rsidR="008C77ED" w:rsidRDefault="008C77ED">
      <w:pPr>
        <w:widowControl w:val="0"/>
        <w:autoSpaceDE w:val="0"/>
        <w:autoSpaceDN w:val="0"/>
        <w:adjustRightInd w:val="0"/>
        <w:spacing w:after="0" w:line="240" w:lineRule="auto"/>
        <w:jc w:val="both"/>
        <w:rPr>
          <w:rFonts w:ascii="Calibri" w:hAnsi="Calibri" w:cs="Calibri"/>
          <w:lang w:val="en-US"/>
        </w:rPr>
      </w:pPr>
    </w:p>
    <w:p w:rsidR="008C77ED" w:rsidRPr="008C77ED" w:rsidRDefault="008C77ED">
      <w:pPr>
        <w:widowControl w:val="0"/>
        <w:autoSpaceDE w:val="0"/>
        <w:autoSpaceDN w:val="0"/>
        <w:adjustRightInd w:val="0"/>
        <w:spacing w:after="0" w:line="240" w:lineRule="auto"/>
        <w:jc w:val="both"/>
        <w:rPr>
          <w:rFonts w:ascii="Calibri" w:hAnsi="Calibri" w:cs="Calibri"/>
          <w:lang w:val="en-US"/>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76" w:name="Par1656"/>
      <w:bookmarkEnd w:id="76"/>
      <w:r>
        <w:rPr>
          <w:rFonts w:ascii="Calibri" w:hAnsi="Calibri" w:cs="Calibri"/>
        </w:rPr>
        <w:lastRenderedPageBreak/>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благоприятных условий для развития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7" w:name="Par1660"/>
      <w:bookmarkEnd w:id="77"/>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благоприятных условий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рынка недвижимости"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8"/>
        <w:gridCol w:w="268"/>
        <w:gridCol w:w="5940"/>
      </w:tblGrid>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управления в сфере земельных отношений. 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Обеспеченность территории Российской Федерации цифровыми топографическими картами открытого пользования с минимальным сроком соответствия не более </w:t>
            </w:r>
            <w:r>
              <w:rPr>
                <w:rFonts w:ascii="Calibri" w:hAnsi="Calibri" w:cs="Calibri"/>
              </w:rPr>
              <w:lastRenderedPageBreak/>
              <w:t>5 лет (нарастающим итогом),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процентов. 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315 768 200,1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- 37 211 860,6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- 38 602 250,9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- 37 237 717,0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- 37 215 109,9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- 39 029 635,4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- 40 589 322,9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- 42 164 711,2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- 43 717 592,2 тыс. рублей</w:t>
            </w:r>
          </w:p>
        </w:tc>
      </w:tr>
      <w:tr w:rsidR="00C65754">
        <w:tblPrEx>
          <w:tblCellMar>
            <w:top w:w="0" w:type="dxa"/>
            <w:bottom w:w="0" w:type="dxa"/>
          </w:tblCellMar>
        </w:tblPrEx>
        <w:trPr>
          <w:tblCellSpacing w:w="5" w:type="nil"/>
        </w:trPr>
        <w:tc>
          <w:tcPr>
            <w:tcW w:w="27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68"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8" w:name="Par1709"/>
      <w:bookmarkEnd w:id="78"/>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государственных услуг, в том числе посредством их оказания в электронном виде, снижение издержек граждан и организаций при оформлении прав на недвижимость, формирование эффективных государственных систем кадастрового учета и регистрации прав на недвижимость, в том числе централизованное создание общих государственных информационных ресурсов (регистров, кадастров, реестров, классификаторов), создание единой системы инфраструктуры пространственных данных Российской Федерации являются одними из важнейших задач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конец 2012 года, в условиях отсутствия единой нормативно-технической базы, федеральные государственные информационные ресурсы в сфере регистрации прав собственности и кадастрового учета существуют как взаимосвязанные, но самостоятельные базовые информационные ресурсы, что приводит к высокой удельной ресурсоемкости предоставления государственных услуг в сфере регистрации прав и кадастрового учета недвижимости и не позволяет повысить эффективность налогооблагаемой базы в условиях </w:t>
      </w:r>
      <w:r>
        <w:rPr>
          <w:rFonts w:ascii="Calibri" w:hAnsi="Calibri" w:cs="Calibri"/>
        </w:rPr>
        <w:lastRenderedPageBreak/>
        <w:t>введения единого налога на недвижимое имущество и усложняет обеспечение необходимого уровня государственного управления. Значительный рост рынка недвижимости, существенное увеличение объема и количества сделок при сложности имущественных отношений, а также стремительное развитие информационных технологий за последнее десятилетие обусловили требование к решению важнейших из задач в сфере государственной регистрации и кадастрового учета и регистрации прав собственности на объекты недвижимости в Российской Федерации путем объединения функций ведения кадастра, регистрации прав и картографической деятельности в рамках единой организации.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Указом</w:t>
        </w:r>
      </w:hyperlink>
      <w:r>
        <w:rPr>
          <w:rFonts w:ascii="Calibri" w:hAnsi="Calibri" w:cs="Calibri"/>
        </w:rPr>
        <w:t xml:space="preserve"> Президента Российской Федерации от 25 декабря 2008 г. N 1847 на Росреестр возложена одна из основных на сегодняшний день функций - организация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рыночной экономики невозможно без эффективного использования и управления земельными ресурсами и другими объектами недвижимости, что в свою очередь предполагает необходимость усиления роли государства в регулировании рационального использования земельно-имущественного комплекса, а также охраны и контроля земельно-имущественных правоотношений.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важнейшей социально-ориентированной функцией государства по оказанию государственных услуг гражданам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рыночный оборот.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неэффективность существующей нормативно-правовой базы, регулирующей земельно-имущественные правоотношения, отношения в сфере государственной регистрации прав на недвижимость и государственного кадастрового учета, в сферах геодезии, картографии и инфраструктуры пространственных данных Российской Федерации приводит к необоснованным финансовым затратам участников рынка недвижимости, потребителей пространственных данных и к проблемам с обеспечением гарантий прав собственности, а отсутствие единой учетно-регистрационной системы в сфере недвижимости - к противоречиям содержащихся в Государственном кадастре недвижимости и Едином государственном реестре прав на недвижимое имущество и сделок с ним сведений об объектах недвижимости и о зарегистрированных правах на них.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исполнения государственных функций Росреестр предоставляет 17 видов государственных услуг (в электронном виде - 4), ведет два базовых государственных информационных ресурса (Государственный кадастр недвижимости и Единый государственный реестр прав на недвижимое имущество и сделок с ним). В рамках межведомственного электронного взаимодействия Росреестр предоставляет сведения Единого государственного реестра прав на недвижимое имущество и сделок с ним и Государственного кадастра недвижимости более чем 40 федеральным органам исполнительной власти, а также государственным внебюджетным фондам. Объем предоставляемых Росреестром услуг возрастает с каждым годом.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Росреестр завершил реализацию </w:t>
      </w:r>
      <w:hyperlink r:id="rId119"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утвержденной постановлением Правительства Российской Федерации от 13 сентября 2005 г. N 560. По состоянию на конец 2012 года, в результате выполнения мероприятий подпрограммы на всей территории Российской Федерации внедрены централизованные технологии ведения Государственного кадастра недвижимости, реализована система предоставления отдельных государственных услуг Росреестра в электронной форме, создан и внедрен федеральный сегмент системы межведомственного электронного взаимодействия, а также перенос в Государственный кадастр недвижимости сведений о ранее учтенных объектах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рамках обеспечения Росреестром предоставления отдельных видов </w:t>
      </w:r>
      <w:r>
        <w:rPr>
          <w:rFonts w:ascii="Calibri" w:hAnsi="Calibri" w:cs="Calibri"/>
        </w:rPr>
        <w:lastRenderedPageBreak/>
        <w:t>государственных услуг в сфере государственной регистрации прав на недвижимость и государственного кадастрового учета в электронном виде реализован переход к централизованному ведению Государственного кадастра недвижимости на уровне субъектов Российской Федерации, осуществляется подготовка к централизованному ведению баз данных Единого государственного реестра прав на недвижимое имущество и сделок с ним с одновременной модернизацией учетных систем в целях повышения качества данных в информационных ресурсах Росреестра, интеграции данных информационных ресурсов Государственного кадастра недвижимости и Единого государственного реестра прав на недвижимое имущество и сделок с ним с системами предоставления электронных услуг. В рамках развития системы обеспечения удаленного доступа граждан к системе оказания услуг в электронном виде Росреестром на основе использования современных информационно-коммуникационных технологий введен в промышленную эксплуатацию интернет-портал государственных услуг, оказываемых Росреестром в электронном виде. На указанном интернет-портале заявителям предоставлена возможность направлять в Росреестр пакет электронных документов для постановки объектов недвижимости на государственный кадастровый учет.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посредством различных сервисов интернет-портала обеспечен доступ заявителей к сведениям об основных характеристиках земельных участков и их стоимости, реализованы возможности отслеживать процесс работы Росреестра по заявлениям о кадастровом учете или по запросам о предоставлении сведений Государственного кадастра недвижимости, заполнении бланков документов на предоставление сведений, содержащихся в Государственном кадастре недвижимости и Едином государственном реестре прав на недвижимое имущество и сделок с ним, в автоматизированном режиме, просмотре трансляции с камер видеонаблюдения различных региональных подразделений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на оказание государственных услуг в электронном виде значительно упрощается процесс получения сведений Государственного кадастра недвижимости и Единого государственного реестра прав на недвижимое имущество и сделок с ним для граждан и юридических лиц при использовании сетей связи общего пользования или иных технических средств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работой интернет-портала происходит процесс внедрения технологических компонентов обеспечения предоставления государственных услуг в электронном виде, в частности: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"одного окна" (программный комплекс приема-выдачи документов);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автоматизированной системы взаимодействия с заявителями, которая включает системы "электронной очереди" и предварительную запись на прием посредством сети Интернет;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предварительной подготовки документов в электронном виде самостоятельно заявителем.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Росреестр в рамках обеспечения возложенных на него полномочий осуществляет функции по организации создания в пределах своей компетенции картографической основы государственного кадастра недвижимости, а также создания и ведения федерального картографо-геодезического фонда с целью обеспечения органов государственной власти, местного самоуправления, юридических лиц и граждан геопространственной информацией в виде геодезических и картографических материалов и данных. Наличие актуальной и доступной геопространственной информации повысит качество выполняемых органами власти управленческих функций и обеспечивает обороноспособность страны.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Концепцией</w:t>
        </w:r>
      </w:hyperlink>
      <w:r>
        <w:rPr>
          <w:rFonts w:ascii="Calibri" w:hAnsi="Calibri" w:cs="Calibri"/>
        </w:rPr>
        <w:t xml:space="preserve"> развития отрасли геодезии и картографии до 2020 года, утвержденной распоряжением Правительства Российской Федерации от 17 декабря 2010 г. N 2378-р, в целях хранения, обновления и обеспечения доступа к материалам и данным федерального картографо-геодезического фонда необходимо создание федеральной информационной системы, обеспечивающей доступ потребителей к информационным ресурсам посредством интернет-технологий, в том числе и через федеральный геоинформационный портал.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уровень технического и технологического развития федерального картографо-геодезического фонда, задачей которого является сбор, хранение и выдача потребителям геодезических и картографических материалов, значительно отстает от </w:t>
      </w:r>
      <w:r>
        <w:rPr>
          <w:rFonts w:ascii="Calibri" w:hAnsi="Calibri" w:cs="Calibri"/>
        </w:rPr>
        <w:lastRenderedPageBreak/>
        <w:t>современного уровня развития геоинформационных технологий, применение которых позволит обеспечить потребителей новыми видами и формами пространственных данных, резко повысить актуальность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Проблемой также являются административные барьеры - длительность и большое количество процедур при регистрации собственности, обязанность удостоверять все сделки с недвижимостью у нотариусов. Для решения проблемы преодоления административных барьеров планируется реализация </w:t>
      </w:r>
      <w:hyperlink r:id="rId121" w:history="1">
        <w:r>
          <w:rPr>
            <w:rFonts w:ascii="Calibri" w:hAnsi="Calibri" w:cs="Calibri"/>
            <w:color w:val="0000FF"/>
          </w:rPr>
          <w:t>плана</w:t>
        </w:r>
      </w:hyperlink>
      <w:r>
        <w:rPr>
          <w:rFonts w:ascii="Calibri" w:hAnsi="Calibri" w:cs="Calibri"/>
        </w:rPr>
        <w:t xml:space="preserve"> мероприятий ("дорожная карта") "Повышение качества государственных услуг в сфере государственного кадастрового учета недвижимого имущества и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ее реализации уже к 2015 году планируется снизить срок регистрации - до семи дней (в настоящее время - в среднем сорок три дня). Затраты заявителя планируется зафиксировать в размере госпошлины - 2 тысячи рублей для физических лиц и 15 тысяч для юридических лиц. Благодаря реализации "дорожной карты" время ожидания в очереди к 2018 году сократится до 10 минут (в настоящее время - около часа), а доля регистрационных действий, которые можно будет совершить в электронном виде, увеличится до 70 процентов с нынешних 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достигнутого потенциала необходимо обеспечить поддержание функционирования созданных ресурсов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 учетом экономической и социальной значимости базовых информационных ресурсов Росреестра, не менее важно сохранить позитивную динамику развития информационной системы и базы данных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принимать во внимание, что с учетом комплексного характера проблематики наиболее эффективным подходом к реализации мероприятий по созданию и развитию единой учетно-регистрационной системы в сфере недвижимости является программно-целевой подход. Постановлением Правительства Российской Федерации от 10 октября 2013 г. N 903 утверждена федеральная целевая </w:t>
      </w:r>
      <w:hyperlink r:id="rId122" w:history="1">
        <w:r>
          <w:rPr>
            <w:rFonts w:ascii="Calibri" w:hAnsi="Calibri" w:cs="Calibri"/>
            <w:color w:val="0000FF"/>
          </w:rPr>
          <w:t>программа</w:t>
        </w:r>
      </w:hyperlink>
      <w:r>
        <w:rPr>
          <w:rFonts w:ascii="Calibri" w:hAnsi="Calibri" w:cs="Calibri"/>
        </w:rPr>
        <w:t xml:space="preserve"> "Развитие единой государственной системы регистрации прав и кадастрового учета недвижимости на 2014 - 2019 годы".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79" w:name="Par1737"/>
      <w:bookmarkEnd w:id="79"/>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0" w:name="Par1743"/>
      <w:bookmarkEnd w:id="80"/>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25 декабря 2008 г. N 1847 "О Федеральной службе государственной регистрации, кадастра и картографии" на Росреестр возложены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 а также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18 декабря 2009 г. N 534 утверждены </w:t>
      </w:r>
      <w:hyperlink r:id="rId124" w:history="1">
        <w:r>
          <w:rPr>
            <w:rFonts w:ascii="Calibri" w:hAnsi="Calibri" w:cs="Calibri"/>
            <w:color w:val="0000FF"/>
          </w:rPr>
          <w:t>концепция</w:t>
        </w:r>
      </w:hyperlink>
      <w:r>
        <w:rPr>
          <w:rFonts w:ascii="Calibri" w:hAnsi="Calibri" w:cs="Calibri"/>
        </w:rPr>
        <w:t xml:space="preserve"> создания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5" w:history="1">
        <w:r>
          <w:rPr>
            <w:rFonts w:ascii="Calibri" w:hAnsi="Calibri" w:cs="Calibri"/>
            <w:color w:val="0000FF"/>
          </w:rPr>
          <w:t>план</w:t>
        </w:r>
      </w:hyperlink>
      <w:r>
        <w:rPr>
          <w:rFonts w:ascii="Calibri" w:hAnsi="Calibri" w:cs="Calibri"/>
        </w:rPr>
        <w:t xml:space="preserve"> подготовки проектов нормативных правовых актов, обеспечивающих создание и развитие единой федеральной системы в сфере государственной регистрации прав на недвижимость и государственного кадастрового учета недвижимости, </w:t>
      </w:r>
      <w:hyperlink r:id="rId126" w:history="1">
        <w:r>
          <w:rPr>
            <w:rFonts w:ascii="Calibri" w:hAnsi="Calibri" w:cs="Calibri"/>
            <w:color w:val="0000FF"/>
          </w:rPr>
          <w:t>план</w:t>
        </w:r>
      </w:hyperlink>
      <w:r>
        <w:rPr>
          <w:rFonts w:ascii="Calibri" w:hAnsi="Calibri" w:cs="Calibri"/>
        </w:rPr>
        <w:t xml:space="preserve"> реализации мероприятий по созданию единой федеральной системы в сфере государственной регистрации прав на недвижимость и государственного кадастрового учета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127" w:history="1">
        <w:r>
          <w:rPr>
            <w:rFonts w:ascii="Calibri" w:hAnsi="Calibri" w:cs="Calibri"/>
            <w:color w:val="0000FF"/>
          </w:rPr>
          <w:t>концепция</w:t>
        </w:r>
      </w:hyperlink>
      <w:r>
        <w:rPr>
          <w:rFonts w:ascii="Calibri" w:hAnsi="Calibri" w:cs="Calibri"/>
        </w:rPr>
        <w:t xml:space="preserve"> определяет цель, задачи, основные направления, этапы создания и развития в Российской Федерации единой федеральной системы государственной регистрации прав на недвижимость и государственного кадастрового учета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законодательством на федеральный орган исполнительной власти по геодезии и картографии возложено удовлетворение потребностей государства, юридических лиц и граждан в геодезической и картографической продукции федерального назначения, а также в геопространственной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подпрограммы определены следующие основные приоритеты государственной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основы для эффективного информационного обеспечения и управления земельно-имущественным комплексом страны, в том числе при реализации крупных (национальных)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оказываемых государственных услуг в сфере государственной регистрации и кадастрового учета;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способствование эффективному использованию земельных участков, а также к осуществлению государственного земельного контроля, землеустройства и мониторинга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геодезических измерений, актуальности, качества и доступности для всех потребителей геопространственной информации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решаемые отечественной геодезией и картографией на современном этапе, все более усложняются. Результаты их решения используются практически во всех отраслях экономики, имеют важнейшее значение в обеспечении безопасности и обороноспособности государства. Результаты фундаментальных научных исследований в области геодезии положены в основу создания и развития спутниковых навигационных систем, в частности системы ГЛОНАСС. Современные картографические технологии основаны на использовании цифровых технологий обработки и представления геопространственной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Отечественная система геодезического и картографического обеспечения включает в себя механизмы получения, обработки, хранения и выдачи геопространственной информации и данных. Система геодезического и картографического обеспечения Российской Федерации - сложный государственный механизм, который должен постоянно развиваться. Практическим итогом такого развития является современная геопространственная информация, предоставляемая потребителям в виде карт различного масштаба и назначения. Отсутствие современной геопространственной информации может, в конечном итоге, привести в экономике к принятию неправильных управленческих решений и к невыполнению задач обороны и безопасности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решения указанных задач в "дорожной карте" предусмотрены соответствующие мероприятия, в том числе мероприятия по переходу к единой геоцентрической системе координат ведения государственного кадастра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"дорожной карты" призвана оптимизировать процедуры государственного кадастрового учета и государственной регистрации прав, а также повысить клиентоориентированность учетно-регистрационной системы и качество оказания государственных услуг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создания единой учетно-регистрационной системы, реализации комплекса нормативных, административных и информационных мероприятий планируется сократить сроки государственной регистрации прав собственности, количество необходимых процедур, а также увеличить гарантии зарегистрированных прав и исключить административные барьеры, коррупционные проявления.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1" w:name="Par1761"/>
      <w:bookmarkEnd w:id="81"/>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приоритетов государственной политики сформулирована цель подпрограммы -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государственного управления в сфере земельных отношений;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достижения цели "Совершенствование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 является 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"Совершенствование государственного управления в сфере земельных отношений" является 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 является 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2" w:name="Par1776"/>
      <w:bookmarkEnd w:id="82"/>
      <w:r>
        <w:rPr>
          <w:rFonts w:ascii="Calibri" w:hAnsi="Calibri" w:cs="Calibri"/>
        </w:rPr>
        <w:t>3. Основные ожидаемые конечные результаты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геодезического и картографического обеспечения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3" w:name="Par1783"/>
      <w:bookmarkEnd w:id="83"/>
      <w:r>
        <w:rPr>
          <w:rFonts w:ascii="Calibri" w:hAnsi="Calibri" w:cs="Calibri"/>
        </w:rPr>
        <w:t>4. Сроки и контрольные этапы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84" w:name="Par1787"/>
      <w:bookmarkEnd w:id="84"/>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цели и задач подпрограммы будет осуществляться путем реализации основных </w:t>
      </w:r>
      <w:r>
        <w:rPr>
          <w:rFonts w:ascii="Calibri" w:hAnsi="Calibri" w:cs="Calibri"/>
        </w:rPr>
        <w:lastRenderedPageBreak/>
        <w:t>мероприятий, направленных на развитие эффективного оборота недвижимого имущества, а также развитие отрасли геодезии и картографии с одновременным обеспечением необходимого уровня государственного управления и соответствующим улучшением качества оказываемых государственных услуг в сферах государственной регистрации прав на недвижимое имущество и сделок с ним, государственного кадастрового учета объектов недвижимости, геодезии, картографии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цели и задач будет сопровождаться разработкой нормативных правовых актов в указанных сферах.</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5" w:name="Par1792"/>
      <w:bookmarkEnd w:id="85"/>
      <w:r>
        <w:rPr>
          <w:rFonts w:ascii="Calibri" w:hAnsi="Calibri" w:cs="Calibri"/>
        </w:rPr>
        <w:t>1. Обеспечение функций по государственному кадастровому</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учету, государственной регистрации прав и картографии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прав собственности и кадастровый учет являются важной социально-ориентированной функцией государства по оказанию государственных услуг физическим и юридическим лицам, обеспечивающей защиту конституционных прав собственников и обладателей иных прав на объекты недвижимости, формирование цивилизованного рынка недвижимости и вовлечение недвижимости в гражданский оборот.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Разработанные в рамках реализации мероприятий </w:t>
      </w:r>
      <w:hyperlink r:id="rId128"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документы формируют основу комплексной, целостной системы нормативных правовых и нормативно-технических актов, нацеленных на увеличение капитализации рынка земли и иной недвижимости путем вовлечения в оборот большего числа объектов недвижимости и повышения качества сведений об объектах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сформирована и внедрена в промышленную эксплуатацию база данных, содержащая сведения о рынке недвижимости в формате специального программного обеспечения автоматизированной информационной системы "Мониторинг рынка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Спроектировано общее техническое решение (архитектура) Единой федеральной информационной системы недвижимости, разработана система мониторинга оказания государственных услуг, в том числе в электронном виде с размещением информации на внутреннем и внешнем интернет-порталах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Разработана автоматизированная информационная система ведения реестра кадастровых инженеров.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осуществлено внедрение и развертывание автоматизированной системы взаимодействия с заявителями.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плановом порядке осуществлен ввод в эксплуатацию в государственных органах по ведению государственного кадастрового учета программно-технических комплексов, современных отечественных информационных технологий и программных средств, средств защиты информации, обеспечивающих автоматизацию процессов формирования, учета, оценки земельных участков и объектов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Закуплены комплекты автоматизированной системы взаимодействия с заявителями, а также оборудование для развертывания ведомственного центра телефонного обслуживания.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установленные ранее программно-технические комплексы, рабочие станции, системы мониторинга и управления серверами, системы управления электронной очередью и взаимодействия с заявителями, комплекты центральных групповых, сетевых средств обработки информации и серверов для организации системы "одного окна", телекоммуникационное и иное оборудование будут стремительно морально и физически устаревать.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в рамках реализации данного основного мероприятия планируется обеспечить условия для функционирования существующих систем и комплексов, в том числе в части сопровождения и поддержания в рабочем состоянии программного обеспечения автоматизированных информационных систем государственной регистрации прав на недвижимое имущество и сделок с ним автоматизированных информационных систем АИС ЕГРП и АИС "Юстиция", развития и сопровождения информационной системы предварительной подготовки </w:t>
      </w:r>
      <w:r>
        <w:rPr>
          <w:rFonts w:ascii="Calibri" w:hAnsi="Calibri" w:cs="Calibri"/>
        </w:rPr>
        <w:lastRenderedPageBreak/>
        <w:t>данных для государственной регистрации прав, автоматизированной системы взаимодействия с заявителями.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предполагается сопровождение и развитие транспортной среды гарантированной доставки запросов, сообщений и шины данных для интеграции учетных систем на основе IP-сети с интернет-порталом государственных услуг, оказываемых Росреестром в электронном виде, организация и сопровождение резервной защищенной сети передачи данных, объединяющей центральный аппарат и территориальные органы Росреестра, сопровождение и мониторинг информационно-телекоммуникационной инфраструктуры, центрального аппарата и территориальных органов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проведение иных соответствующих мероприятий, направленных на обеспечение деятельности территориальных органов и подведомственных Росреестру учреждений.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имеющегося в наличии потенциала требуется дополнительно обеспечить финансирование приобретения основных средств взамен пришедшим в негодность, оснащения объектов капитального строительства, введенных и вводимых в эксплуатацию (в части закупки мебели, систем кондиционирования, стеллажного оборудования), выполнения капитальных и текущих ремонтов в территориальных отделах Росреестра, в том числе по ремонтным работам в аварийных помещениях и сооружениях, проведению ремонта кровли, систем жизнеобеспечения.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6" w:name="Par1809"/>
      <w:bookmarkEnd w:id="86"/>
      <w:r>
        <w:rPr>
          <w:rFonts w:ascii="Calibri" w:hAnsi="Calibri" w:cs="Calibri"/>
        </w:rPr>
        <w:t>2. Институциональное развитие в сфере управления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земельными ресурсами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основного мероприятия являются: совершенствование системы землеустройства и государственного мониторинга земель в Российской Федерации (за исключением земель сельскохозяйственного назначения) для обеспечения оборота земель, рационального использования земель и их охраны, информационного обеспечения заинтересованных лиц и органов власти информацией о состоянии земель, в частности: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изменений состояния и использования земель, оценка этих изменений, прогноз и выработка рекомендаций о предупреждении и об устранении последствий негативных процессов;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земель в целях осуществления мониторинга земель, являющихся исконной средой обитания коренных малочисленных народов Севера, Сибири и Дальнего Востока;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государственного земельного надзора за использованием и охраной земель, иных функций в области государственного и муниципального управления земельными ресурсами, а также землеустройства;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органов государственной власти и органов местного самоуправления, а также заинтересованных юридических лиц и граждан сведениями о состоянии и использовании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предоставление в государственный фонд данных, полученных в результате проведения землеустройства, актуальных сведений полученных в результате проведения землеустройства и государственного мониторинга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фонда данных, полученных в результате проведения землеустройства, включающего данные, полученные в ходе проведения землеустройства и государственного мониторинга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будут осуществляться путем проведения мероприятий, которые предполагают: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состоянием и использованием земель в целях актуализации информации для обеспечения последовательного осуществления государственной политики в области земельных отношений, направленной на эффективное использование и охрану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развития опасных негативных процессов, вызывающих существенное ухудшение состояния земель и ограничение или невозможность их дальнейшего эффективного использования (вследствие деградации, загрязнения и иных процессов, предотвращение которых позволит значительно сократить затраты по сравнению с ситуацией, когда допущено развитие указанных процессов);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автоматизированной информационной системы государственного мониторинга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землеустроительных работ в целях получения документации, необходимой для эффективного управления земельными ресурсами;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фонда данных, полученных в результате проведения землеустройства как единого государственного информационного ресурса для улучшения качества оказания государственных услуг.</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7" w:name="Par1826"/>
      <w:bookmarkEnd w:id="87"/>
      <w:r>
        <w:rPr>
          <w:rFonts w:ascii="Calibri" w:hAnsi="Calibri" w:cs="Calibri"/>
        </w:rPr>
        <w:t>3. Развитие инфраструктуры пространственных данных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значение геодезии и картографии в развитии различных отраслей экономики, а также в обеспечении безопасности и обороны государства под влиянием экономических, геополитических и военно-стратегических факторов значительно возросло и продолжает возрастать.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возросла потребность субъектов Российской Федерации, отраслей экономики и обороны к геодезическому и картографическому обеспечению территории Российской Федерации в части повышения точности и оперативности выполнения комплекса геодезических и картографических работ, изменения содержания, видов и средств доведения до потребителей картографической информации, представления результатов некоторых видов геодезических и картографических материалов и данных в масштабе времени, близком к реальному.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внедрение геоинформационных технологий в органах государственной власти, различных отраслях экономики, Вооруженных силах Российской Федерации требует оперативного создания и своевременного обновления государственных топографических карт в цифровом виде.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и востребованности потребителями государственных топографических карт и планов из федерального картографо-геодезического фонда показал, что цифровые топографические планы населенных пунктов и цифровые крупномасштабные топографические карты на обжитые и экономически развитые районы Российской Федерации являются наиболее востребованными.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геодезического и картографического обеспечения определяется темпами внедрения новейших научно-технических решений и технических средств. В современном мире масштабное их использование в хозяйственной деятельности становится одним из основных источников повышения конкурентоспособности и устойчивого экономического роста. Для развития эффективного геодезического и картографического обеспечения страны требуется создание условий, стимулирующих внедрение и использование результатов научно-исследовательских и опытно-конструкторских работ, широкое использование цифровых технологий, позволяющих повысить производительность труда и оптимизировать управленческие и производственные процессы.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сложились объективные предпосылки для неотложного принятия комплекса мероприятий по повышению эффективности геодезической и картографической деятельности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факторы приводят к необходимости системного анализа и определения базовых направлений геодезического и картографического обеспечения государственных нужд и бизнеса с учетом сформировавшихся тенденций экономического развития страны, уровня развития техники и технологий, проблем, назревших в предшествующий и настоящий период. Решать вышеперечисленные задачи необходимо программными методами - путем реализации основного мероприятия "Развитие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техники и технологий, традиционно сильные позиции России в области решения задач геодезии и картографии, наличие достаточных производственных мощностей и большого опыта выполнения геодезических и картографических работ позволят реализовать данное основное мероприятие с точки зрения технологической и организационной обеспеченности.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основного мероприятия позволит создать условия для более полного </w:t>
      </w:r>
      <w:r>
        <w:rPr>
          <w:rFonts w:ascii="Calibri" w:hAnsi="Calibri" w:cs="Calibri"/>
        </w:rPr>
        <w:lastRenderedPageBreak/>
        <w:t>удовлетворения потребителей в геодезических и картографических материалах и данных.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основного мероприятия предусматривается реализация следующих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высокоэффективной системы геодезического обеспечения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системы картографического обеспечения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федерального картографо-геодезического фонда;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делимитации, демаркации и проверки прохождения линии государственной границы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регулирования геодезической и картографической 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8" w:name="Par1845"/>
      <w:bookmarkEnd w:id="88"/>
      <w:r>
        <w:rPr>
          <w:rFonts w:ascii="Calibri" w:hAnsi="Calibri" w:cs="Calibri"/>
        </w:rPr>
        <w:t>4. Реализация проекта Международного банка реконструкции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"Развитие системы государственной регистрации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недвижимость"</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Многолетний опыт работы национальных институтов оказания государственных услуг в сферах государственной регистрации прав на недвижимость и государственного кадастрового учета недвижимости, а также современная международная практика развития услуг в этих сферах свидетельствуют о перспективности институционального объединения систем оказания данных услуг, внедрения новых информационных технологий, снижающих издержки пользователей и государства на получение (оказание) государственных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системы государственной регистрации прав и кадастрового учета объектов недвижимости в Российской Федерации призвано создать основу для эффективного информационного обеспечения и управления земельно-имущественным комплексом страны, что является одним из главных приоритетов государственной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финансирования из средств проекта Международного банка реконструкции и развития "Развитие системы государственной регистрации прав на недвижимость" (заем 4826-RU) планируется осуществить: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нормативных правовых актов, обеспечивающих осуществление государственной регистрации прав и государственного кадастрового учета объектов недвижимости, в рамках создания Единого государственного реестра объектов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работы по переводу документов в электронный вид;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пилотные мероприятия по созданию IT-инфраструктуры центров хранения данных ("электронный архив");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интегральной системы регулярной оценки эффективности и результативности деятельности территориальных органов Росреестра и ФГБУ "Федеральная кадастровая палата Федеральной службы государственной регистрации, кадастра и картографии" по субъектам Российской Федерации на основе рейтинга;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способов взаимодействия с заявителями в части обеспечения работы ведомственных центров телефонного обслуживания на всей территории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информационно-справочной поддержки заявителей путем доработки официального сайта Росреестра (в части разработки и внедрения стандартов взаимодействия с заявителем, разработки навигационных сервисов и онлайн-сервисов справочной поддержки и консультирования), а также разработки макетов информационных материалов (справочные материалы о порядке и способах предоставления государственных услуг в виде листовок, буклетов);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локально вычислительных сетей);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и установку оборудования для реализации федерального информационного ресурса Единого государственного реестра прав на недвижимое имущество и сделок с ним и государственного кадастра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внедрение распределенной системы мониторинга функционирования IT-инфраструктуры оказания государственных услуг физическим и юридическим лицам в </w:t>
      </w:r>
      <w:r>
        <w:rPr>
          <w:rFonts w:ascii="Calibri" w:hAnsi="Calibri" w:cs="Calibri"/>
        </w:rPr>
        <w:lastRenderedPageBreak/>
        <w:t>электронном виде.</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89" w:name="Par1862"/>
      <w:bookmarkEnd w:id="89"/>
      <w:r>
        <w:rPr>
          <w:rFonts w:ascii="Calibri" w:hAnsi="Calibri" w:cs="Calibri"/>
        </w:rPr>
        <w:t>5. Совершенствование нормативно-правового регулирования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земельных отношений, государственного кадастрового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учета, регистрации прав на недвижимое имущество и сделок</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 ним, геодезии, картографии и инфраструктуры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пространственных данных</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планируется деятельность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отношения в сферах геодезии и картографии, инфраструктуры пространственных данных Российской Федерации,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выделения и правового режима использования земель, предназначенных для строительства объектов связи в целях обеспечения социальных гарантий гражданам, проживающим в малочисленных населенных пунктах;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защиты исключительного права Российской Федерации на результаты геодезической и картографической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уровня вовлечения в хозяйственный оборот материалов и данных федерального картографо-геодезического фонда;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по использованию различными категориями потребителей дифференциальных станций;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федеральных органов исполнительной власти при создании государственных навигационных карт и их мониторинге;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расходования бюджетных средств при размещении государственных контрактов на приобретение прав использования данных дистанционного зондирования Земли из космоса, а также их дальнейшего использования и распространения, в том числе при создании картографических материалов;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процедуры получения юридическими и физическими лицами материалов и данных федерального картографо-геодезического фонда.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также предусматривается реализация мероприятий проекта Международного банка реконструкции и развития (основное мероприятие "Реализация проекта Международного банка реконструкции и развития "Развитие системы государственной регистрации прав на недвижимость") и повышение эффективности выполнения функций Росреестра (основное мероприятие "Обеспечение функций по государственному кадастровому учету, государственной регистрации прав и картографии"). Краткая характеристика основных мероприятий приведена в </w:t>
      </w:r>
      <w:hyperlink w:anchor="Par7556" w:history="1">
        <w:r>
          <w:rPr>
            <w:rFonts w:ascii="Calibri" w:hAnsi="Calibri" w:cs="Calibri"/>
            <w:color w:val="0000FF"/>
          </w:rPr>
          <w:t>Приложении 2</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0" w:name="Par1881"/>
      <w:bookmarkEnd w:id="90"/>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мероприятием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 подпрограммы предусмотрено совершенствование правового регулирования в сфере земельных отношений, законодательства, регулирующего оборот </w:t>
      </w:r>
      <w:r>
        <w:rPr>
          <w:rFonts w:ascii="Calibri" w:hAnsi="Calibri" w:cs="Calibri"/>
        </w:rPr>
        <w:lastRenderedPageBreak/>
        <w:t>недвижимости, геодезической, картографической деятельности и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реализации подпрограммы планируется принятие: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закона, предусматривающего реализацию </w:t>
      </w:r>
      <w:hyperlink r:id="rId129" w:history="1">
        <w:r>
          <w:rPr>
            <w:rFonts w:ascii="Calibri" w:hAnsi="Calibri" w:cs="Calibri"/>
            <w:color w:val="0000FF"/>
          </w:rPr>
          <w:t>пункта 1.6</w:t>
        </w:r>
      </w:hyperlink>
      <w:r>
        <w:rPr>
          <w:rFonts w:ascii="Calibri" w:hAnsi="Calibri" w:cs="Calibri"/>
        </w:rPr>
        <w:t xml:space="preserve"> Плана подготовки проектов нормативных правовых актов, обеспечивающих создание и развитие единой федеральной системы государственной регистрации прав на недвижимость и государственного кадастрового учета недвижимости, утвержденного приказом Минэкономразвития России от 18 декабря 2009 г. N 534;</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закона, направленного на регулирование геодезической и картографической деятельности, а также на создание и развитие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закона "О внесении изменений в некоторые законодательные акты Российской Федерации в части совершенствования использования информации об адресах объектов капитального строительства и земельных участков", которым будет обеспечено совершенствование использования адресной информации в уже функционирующих информационных адресных системах на территориях муниципальных образований путем установления порядка присвоения наименований элементам улично-дорожной сети, элементам планировочной структуры и присвоения (изменения) адресов объектам адресации, а также определения порядка информационного взаимодействия с федеральными ресурсами, использующими адресную информацию, и предусматривающего внесение изменений в Федеральный закон "Об общих принципах организации местного самоуправления в Российской Федерации" в части отнесения к вопросам местного значения полномочий муниципальных районов и городских округов по присвоению (изменению) наименований элементам улично-дорожной сети и элементам планировочной структуры (улицам, площадям, иным территориям проживания граждан), присвоению (изменению) адреса объектам адресации. Законопроект предусматривает внесение изменений в Градостроительный </w:t>
      </w:r>
      <w:hyperlink r:id="rId130" w:history="1">
        <w:r>
          <w:rPr>
            <w:rFonts w:ascii="Calibri" w:hAnsi="Calibri" w:cs="Calibri"/>
            <w:color w:val="0000FF"/>
          </w:rPr>
          <w:t>кодекс</w:t>
        </w:r>
      </w:hyperlink>
      <w:r>
        <w:rPr>
          <w:rFonts w:ascii="Calibri" w:hAnsi="Calibri" w:cs="Calibri"/>
        </w:rPr>
        <w:t xml:space="preserve"> Российской Федерации. В частности, предлагается расширить сферу градостроительной деятельности за счет отнесения к ней функции по присвоению (изменению) наименований элементам улично-дорожной сети и элементам планировочной структуры, присвоению (изменению) адресов объектам адресации. Законопроектом даются определения таким понятиям, как адрес, объект адресации, адресный план, реестр элементов улично-дорожной сети и элементов планировочной структуры. Также в законопроект внесено положение, на основании которого присвоение адресов объектам адресации осуществляется в соответствии с требованиями, утвержденными уполномоченным Правительством Российской Федерации федеральным органом исполнительной власти. Внесение изменений в вышеуказанные законодательные акты Российской Федерации обеспечит формирование и использование точной, унифицированной, актуальной, общедоступной адресной информации, а также предоставление ее заинтересованным лицам на основе применения информационных технологий, в том числе за плату.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указанных мер правового регулирования приведена в </w:t>
      </w:r>
      <w:hyperlink w:anchor="Par8403" w:history="1">
        <w:r>
          <w:rPr>
            <w:rFonts w:ascii="Calibri" w:hAnsi="Calibri" w:cs="Calibri"/>
            <w:color w:val="0000FF"/>
          </w:rPr>
          <w:t>Приложении 4</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1" w:name="Par1890"/>
      <w:bookmarkEnd w:id="91"/>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оказание государственных услуг по осуществлению государственного кадастрового учета, в том числе ведению государственного кадастра недвижимости; предоставлению сведений, внесенных в государственный кадастр недвижимости, обеспечению государственного технического учета объектов капитального строительства, осуществлению ведомственного телефонного консультирования заинтересованных физических и юридических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государственных заданий на 2013 - 2015 годы приведены в </w:t>
      </w:r>
      <w:hyperlink w:anchor="Par9032" w:history="1">
        <w:r>
          <w:rPr>
            <w:rFonts w:ascii="Calibri" w:hAnsi="Calibri" w:cs="Calibri"/>
            <w:color w:val="0000FF"/>
          </w:rPr>
          <w:t>Приложении 5</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2" w:name="Par1896"/>
      <w:bookmarkEnd w:id="92"/>
      <w:r>
        <w:rPr>
          <w:rFonts w:ascii="Calibri" w:hAnsi="Calibri" w:cs="Calibri"/>
        </w:rPr>
        <w:t>VI. Информация об участии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организаций, 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предусмотрено.</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3" w:name="Par1904"/>
      <w:bookmarkEnd w:id="93"/>
      <w:r>
        <w:rPr>
          <w:rFonts w:ascii="Calibri" w:hAnsi="Calibri" w:cs="Calibri"/>
        </w:rPr>
        <w:t>VII.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будет реализована за счет средств федерального бюджета на соответствующий год. Объем финансового обеспечения реализации подпрограммы на 2013 - 2020 годы из средств федерального бюджета составит 315 768 200,1 тыс. рублей. Финансовое обеспечение реализации мероприятий подпрограммы из средств федерального бюджета предусматривается Росреестру. Финансовое обеспечение реализации основных мероприятий Минэкономразвития России предусматривается в рамках ассигнований на содержание аппарата Министерства в непрограммной части расходов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(капитальные вложения) за счет средств федерального бюджета планируется использовать для продолжения работы по реконструкции и строительству объектов Росреестра.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из федерального бюджета по виду расходов 241 "Научно-исследовательские и опытно-конструкторские работы" предполагается направить на проведение исследования для определения нормативно-правовой базы создания Единой системы государственной регистрации и государственного кадастра недвижимости, в сферах геодезии, картографии, инфраструктуры пространственных данных, а также предоставления государственных услуг в указанных сферах.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по целевым статьям бюджетной классификации 0010400 "Центральный аппарат", 0011500 "Территориальные органы", виду расходов 242 "Закупка товаров, работ и услуг в сфере информационно-коммуникационных технологий" предполагается направить на сопровождение и развитие информационно-телекоммуникационной структуры Единой информационной системы государственной регистрации и кадастрового учета, единой системы инфраструктуры пространственных данных Российской Федерации, а также предоставления государственных услуг в данных сферах.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объемов финансирования в сфере геодезии и картографии выполнен в соответствии со "Сметными укрупненными расценками на топографо-геодезические работы", введенными в действие </w:t>
      </w:r>
      <w:hyperlink r:id="rId131" w:history="1">
        <w:r>
          <w:rPr>
            <w:rFonts w:ascii="Calibri" w:hAnsi="Calibri" w:cs="Calibri"/>
            <w:color w:val="0000FF"/>
          </w:rPr>
          <w:t>приказом</w:t>
        </w:r>
      </w:hyperlink>
      <w:r>
        <w:rPr>
          <w:rFonts w:ascii="Calibri" w:hAnsi="Calibri" w:cs="Calibri"/>
        </w:rPr>
        <w:t xml:space="preserve"> Роскартографии от 24 декабря 2002 г. N 196-пр, и стоимостью обновления площадей в соответствии с нормами плотности размещения пунктов государственной геодезической сети и нормами периодичности обновления государственных топографических карт и планов на территории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4" w:name="Par1914"/>
      <w:bookmarkEnd w:id="94"/>
      <w:r>
        <w:rPr>
          <w:rFonts w:ascii="Calibri" w:hAnsi="Calibri" w:cs="Calibri"/>
        </w:rPr>
        <w:t>VIII.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Подпрограммы могут возникнуть следующие риски.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организационные риски.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принятия в ходе реализации проекта неэффективных организационных решений из-за разного понимания участниками проекта целей и задач по совершенствованию системы государственного кадастрового учета объектов недвижимости и государственной регистрации прав на недвижимое имущество и сделок с ним, совершенствованию регулирования земельных отношений и законодательства, регулирующего оборот недвижимости, отношений в сферах геодезии, картографии и инфраструктуру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Причиной возникновения данного риска может служить малоэффективная система </w:t>
      </w:r>
      <w:r>
        <w:rPr>
          <w:rFonts w:ascii="Calibri" w:hAnsi="Calibri" w:cs="Calibri"/>
        </w:rPr>
        <w:lastRenderedPageBreak/>
        <w:t>управления реализацией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минимизации такого риска - создание эффективной системы управления мероприятиями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риски, связанные с человеческим фактором.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разработки и внедрения принципиальных решений из-за недостаточной квалификации персонала. Механизм минимизации такого риска состоит в привлечении к исполнению проекта высококлассных специалистов в вышеуказанных сферах.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получения низкого уровня эффективности освоения новых (дополнительных) функциональных обязанностей персоналом. Данный риск обусловлен значительной текучестью кадров и низкой квалификацией персонала, поступающего на работу. Механизм минимизации данного риска связан с дальнейшим развитием системы подготовки и переподготовки кадров, а также целевой подготовкой специалистов, в частности в вузах картографо-геодезического профиля.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технологические риски, связанные с реализацией мероприятий основного мероприятия 3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административной процедуры разработки и утверждения нормативно-технических и технологических документов может привести к срыву сроков создания инфраструктуры пространственных данных Российской Федерации и основного мероприятия 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делегирование Минэкономразвития России Росреестру прав на разработку и утверждение указанных документов.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финансовые риски, связанные с реализацией мероприятий основного мероприятия 3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недофинансирования ряда мероприятий и основного мероприятия 3 в целом, который может привести к невыполнению ряда мероприятий основного мероприятия 3, что вызовет срыв решения важной государственной задачи - создание инфраструктуры пространственных данных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минимизации данного риска является выполнение работ по ранжированию задач по степени важности, их поэтапная разработка и внедрение.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95" w:name="Par1932"/>
      <w:bookmarkEnd w:id="95"/>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6" w:name="Par1936"/>
      <w:bookmarkEnd w:id="96"/>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C65754" w:rsidRDefault="00C65754">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3"/>
        <w:gridCol w:w="266"/>
        <w:gridCol w:w="6450"/>
      </w:tblGrid>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государственных и муниципальных услуг. Снижение административных барьеров. Формирование единой национальной системы аккредитации в соответствии с требованиями международных стандартов.</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Оптимизация предоставления государственных и муниципальных услуг, в том числе путем организации их предоставления по принципу "одного окна", в том числе в многофункциональных центрах предоставления государственных и муниципальных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и внедрение системы оценки эффективности деятельности федеральных органов исполнительной власти, высших исполнительных органов государственной власти субъектов Российской Федерации, деятельности органов местного самоуправления, а также повышение эффективности государственной службы и результативности профессиональной служебной деятельности государственных служащих.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информационной открытости и доступности органов государственной власти и органов местного самоуправления.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исполнения государственных и муниципальных функций, оптимизация разрешительной и контрольно-надзорной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и обеспечение взаимного признания результатов аккредитации.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лиц и индивидуальных предпринимателей качеством предоставления государственной услуги по аккредитации, в процентах к 2012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и физических лиц качеством услуг, оказываемых аккредитованными лицами, в процентах к 2012 году.</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2 066 513,20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- 826 499,00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- 353 448,90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- 258 777,30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- 121 303,70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- 123 411,20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- 125 573,80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- 127 693,40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- 129 805,90 тыс. рублей</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уровня удовлетворенности граждан качеством государственных и муниципальных услуг - до 90 процентов к 2018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граждан, имеющих доступ к получению государственных и муниципальных услуг по принципу "одного </w:t>
            </w:r>
            <w:r>
              <w:rPr>
                <w:rFonts w:ascii="Calibri" w:hAnsi="Calibri" w:cs="Calibri"/>
              </w:rPr>
              <w:lastRenderedPageBreak/>
              <w:t>окна" по месту пребывания, в том числе в многофункциональных центрах предоставления государственных услуг - до 90 процентов к 2015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международного признания российской системы аккредитации в 2015 году.</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7" w:name="Par1991"/>
      <w:bookmarkEnd w:id="97"/>
      <w:r>
        <w:rPr>
          <w:rFonts w:ascii="Calibri" w:hAnsi="Calibri" w:cs="Calibri"/>
        </w:rPr>
        <w:t>I. Характеристика сферы реализации подпрограммы,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на территории России,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позволит: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увязать имеющиеся и планируемые финансовые ресурсы с разрабатываемыми комплексами мероприятий по направлениям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интеграцию мероприятий, носящих различный характер (научно-исследовательский, организационно-хозяйственный), в общий процесс достижения конечной цели, предусмотренной подпрограммой;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оперативного и результативного управления рисками.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направлены на повышение эффективности государственного управления путем кардинального улучшения деятельности органов власти с учетом того, что повышение эффективности государственного управления обуславливает рост социально-экономического развития и конкурентоспособности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успеха реализации подпрограммы является целенаправленное формирование новых механизмов работы органов власти Российской Федерации. Новые механизмы работы должны быть созданы органами власти Российской Федерации в рамках текущей деятельности. Решение этой проблемы требует хорошо скоординированной работы различных органов власти и значительных ресурсов. Именно поэтому разработка и реализация подпрограммы является наиболее целесообразным способом решения поставленных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истек срок реализации </w:t>
      </w:r>
      <w:hyperlink r:id="rId132" w:history="1">
        <w:r>
          <w:rPr>
            <w:rFonts w:ascii="Calibri" w:hAnsi="Calibri" w:cs="Calibri"/>
            <w:color w:val="0000FF"/>
          </w:rPr>
          <w:t>Концепции</w:t>
        </w:r>
      </w:hyperlink>
      <w:r>
        <w:rPr>
          <w:rFonts w:ascii="Calibri" w:hAnsi="Calibri" w:cs="Calibri"/>
        </w:rPr>
        <w:t xml:space="preserve"> административной реформы в Российской Федерации в 2006 - 2010 годах, которая была одобрена распоряжением Правительства Российской Федерации от 25 октября 2005 г. N 1789-р (далее - Концепция административной реформы). За эти годы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 сформированы механизмы управления и стимулирования реализации административной реформы.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административной реформы в Российской Федерации в 2006 - 2010 годах были определены: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Соответствующая работа продолжена в рамках </w:t>
      </w:r>
      <w:hyperlink r:id="rId133"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утвержденная распоряжением Правительства Российской Федерации от 10 июня 2011 г. N 1021-р.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результатом этих лет стало принятие и реализация Федерального </w:t>
      </w:r>
      <w:hyperlink r:id="rId134"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которым впервые на законодательном уровне заложены основы для реализации основных мероприятий административной реформы.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Концепцией административной реформы работа велась в рамках следующих направлений: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результативные принципы организации деятельности государственных органов власти и органов местного самоуправления в основном внедрялись в рамках реформы бюджетного процесса: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разрабатывались доклады о результатах и основных направлениях деятельности </w:t>
      </w:r>
      <w:r>
        <w:rPr>
          <w:rFonts w:ascii="Calibri" w:hAnsi="Calibri" w:cs="Calibri"/>
        </w:rPr>
        <w:lastRenderedPageBreak/>
        <w:t>субъектов бюджетного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ведомственные целевые программы по повышению качества предоставления государственных и муниципальных услуг и исполнения государственных и муниципальных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созданы ключевые элементы центральной инфраструктуры электронного правительства: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"Единый портал государственных и муниципальных услуг (функций)" (далее - единый портал);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обеспечивающая ведение в электронной форме федерального реестра государственных услуг (далее - федеральный реестр);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удостоверяющих центров единого пространства доверия электронного правительства;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обеспечено наполнение официальных сайтов органов государственной власти информацией о порядке предоставления государственных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январь 2013 г., на едином портале была размещена информация о 896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заявления по нескольким десяткам государственных услуг. В отношении большинства данных услуг обеспечена возможность подачи документов в электронной форме.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 этапом в области обеспечения открытости публичных органов стало принятие Федерального </w:t>
      </w:r>
      <w:hyperlink r:id="rId135"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и ряда предусмотренных в нем подзаконных актов. Данный </w:t>
      </w:r>
      <w:hyperlink r:id="rId136" w:history="1">
        <w:r>
          <w:rPr>
            <w:rFonts w:ascii="Calibri" w:hAnsi="Calibri" w:cs="Calibri"/>
            <w:color w:val="0000FF"/>
          </w:rPr>
          <w:t>закон</w:t>
        </w:r>
      </w:hyperlink>
      <w:r>
        <w:rPr>
          <w:rFonts w:ascii="Calibri" w:hAnsi="Calibri" w:cs="Calibri"/>
        </w:rPr>
        <w:t xml:space="preserve"> регулирует правоотношения, связанные с обеспечением доступа к информации о деятельности государственных органов и органов местного самоуправления, тем самым, реализуя конституционное право граждан свободно искать и получать информацию.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предоставления государственных и муниципальных услуг по принципу "одного окна" с 2007 года осуществляется на базе многофункциональных центров предоставления государственных и муниципальных услуг (далее - МФЦ). Законодательные основы данной работы определены Федеральным </w:t>
      </w:r>
      <w:hyperlink r:id="rId137"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2012 г. функционировали свыше 600 МФЦ в 72 субъектах Российской Федерации, в каждом предоставляется от 100 до 200 наиболее востребованных государственных и муниципальных услуг. В настоящее время работа по созданию МФЦ ведется во всех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Постановлениями Правительства Российской Федерации от 22 декабря 2012 г. </w:t>
      </w:r>
      <w:hyperlink r:id="rId138" w:history="1">
        <w:r>
          <w:rPr>
            <w:rFonts w:ascii="Calibri" w:hAnsi="Calibri" w:cs="Calibri"/>
            <w:color w:val="0000FF"/>
          </w:rPr>
          <w:t>N 1377</w:t>
        </w:r>
      </w:hyperlink>
      <w:r>
        <w:rPr>
          <w:rFonts w:ascii="Calibri" w:hAnsi="Calibri" w:cs="Calibri"/>
        </w:rPr>
        <w:t xml:space="preserve"> и </w:t>
      </w:r>
      <w:hyperlink r:id="rId139" w:history="1">
        <w:r>
          <w:rPr>
            <w:rFonts w:ascii="Calibri" w:hAnsi="Calibri" w:cs="Calibri"/>
            <w:color w:val="0000FF"/>
          </w:rPr>
          <w:t>N 1376</w:t>
        </w:r>
      </w:hyperlink>
      <w:r>
        <w:rPr>
          <w:rFonts w:ascii="Calibri" w:hAnsi="Calibri" w:cs="Calibri"/>
        </w:rPr>
        <w:t xml:space="preserve"> соответственно актуализированы основные акты Правительства Российской Федерации, регламентирующие организацию предоставления государственных и муниципальных услуг на базе МФЦ:</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работы МФЦ демонстрируют сокращение сроков получения и муниципальных </w:t>
      </w:r>
      <w:r>
        <w:rPr>
          <w:rFonts w:ascii="Calibri" w:hAnsi="Calibri" w:cs="Calibri"/>
        </w:rPr>
        <w:lastRenderedPageBreak/>
        <w:t>государственных услуг, снижение межведомственной волокиты, достигается существенный антикоррупционный эффект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органами. МФЦ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МФЦ показали, что почти 90 процентов посетителей МФЦ высоко оценивают работу центров.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инвентаризация функций и услуг, которые имеют непосредственно отношение к гражданам и бизнесу. Согласно проведенному анализу количество таких услуг (функций) на федеральном уровне свыше 800. Это непосредственно услуги, получаемые по запросу (справка, лицензия, разрешение), так и контрольно-надзорные функции. По результатам федерального законодательства определено около 116 типовых региональных и 64 типовых муниципальных услуг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соответствующих услугах (функциях), размещенные в сводном реестре государственных и муниципальных услуг (функций) в качестве классификатора, позволяют оценить прогресс в разработке административных регламентов на федеральном, региональном,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деятельности по повышению качества предоставления государственных и муниципальных услуг ко 2018 году определены </w:t>
      </w:r>
      <w:hyperlink r:id="rId142"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Ощутимым результатом в части сокращения лицензируемых видов деятельности стало принятие Федерального </w:t>
      </w:r>
      <w:hyperlink r:id="rId143" w:history="1">
        <w:r>
          <w:rPr>
            <w:rFonts w:ascii="Calibri" w:hAnsi="Calibri" w:cs="Calibri"/>
            <w:color w:val="0000FF"/>
          </w:rPr>
          <w:t>закона</w:t>
        </w:r>
      </w:hyperlink>
      <w:r>
        <w:rPr>
          <w:rFonts w:ascii="Calibri" w:hAnsi="Calibri" w:cs="Calibri"/>
        </w:rPr>
        <w:t xml:space="preserve"> "О лицензировании отдельных видов деятельности", которым существенно сокращен перечень лицензируемых видов деятельности и заметно снижены масштабы административного влияния на предпринимательскую деятельность. Если в 1998 году перечень лицензируемых видов деятельности состоял из более чем 1 000 видов деятельности, то к 2012 году он сокращен до 50 видов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из направлений оптимизации государственных функций связано со стимулированием развития саморегулирования. В период с 1 января 2006 г. пять видов лицензирования были заменены обязательным членством в саморегулируемых организациях. Всего в Российской Федерации к окончанию 2012 года создано порядка 1000 саморегулируемых организаций в более чем 20 сферах предпринимательской и профессиональной деятельности, ведение государственных реестров которых осуществляет 7 федеральных органов исполнительной власти. При этом требование об обязательном членстве участников определенных рынков в соответствующих саморегулируемых организациях установлено в 9 сферах предпринимательской и профессиональной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4"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базовые правовые основы осуществления государственного контроля (надзора) и муниципального контроля. Сводный учет количества контрольно-надзорных мероприятий федеральных органов исполнительной власти показывает их общее снижение в среднем на 5 процентов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в связи с принятием указанного федерального </w:t>
      </w:r>
      <w:hyperlink r:id="rId145" w:history="1">
        <w:r>
          <w:rPr>
            <w:rFonts w:ascii="Calibri" w:hAnsi="Calibri" w:cs="Calibri"/>
            <w:color w:val="0000FF"/>
          </w:rPr>
          <w:t>закона</w:t>
        </w:r>
      </w:hyperlink>
      <w:r>
        <w:rPr>
          <w:rFonts w:ascii="Calibri" w:hAnsi="Calibri" w:cs="Calibri"/>
        </w:rPr>
        <w:t xml:space="preserve">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43 видов работ и услуг в составе отдельных видов предпринимательской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на федеральном уровне сформирована нормативно-правовая база в сфере противодействия коррупции, которая позволила продвинуться в создании нормативных предпосылок для пресечения и ограничения проявлений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2006 году Российской Федерацией были ратифицированы </w:t>
      </w:r>
      <w:hyperlink r:id="rId146" w:history="1">
        <w:r>
          <w:rPr>
            <w:rFonts w:ascii="Calibri" w:hAnsi="Calibri" w:cs="Calibri"/>
            <w:color w:val="0000FF"/>
          </w:rPr>
          <w:t>Конвенция</w:t>
        </w:r>
      </w:hyperlink>
      <w:r>
        <w:rPr>
          <w:rFonts w:ascii="Calibri" w:hAnsi="Calibri" w:cs="Calibri"/>
        </w:rPr>
        <w:t xml:space="preserve"> ООН против коррупции и </w:t>
      </w:r>
      <w:hyperlink r:id="rId147"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Российская Федерация присоединилась к </w:t>
      </w:r>
      <w:hyperlink r:id="rId148"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наиболее значимых нормативных правовых актов, принятых за последнее время в данной сфере, прежде всего, следует отметить: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9" w:history="1">
        <w:r>
          <w:rPr>
            <w:rFonts w:ascii="Calibri" w:hAnsi="Calibri" w:cs="Calibri"/>
            <w:color w:val="0000FF"/>
          </w:rPr>
          <w:t>закон</w:t>
        </w:r>
      </w:hyperlink>
      <w:r>
        <w:rPr>
          <w:rFonts w:ascii="Calibri" w:hAnsi="Calibri" w:cs="Calibri"/>
        </w:rPr>
        <w:t xml:space="preserve"> "О противодействии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0"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1" w:history="1">
        <w:r>
          <w:rPr>
            <w:rFonts w:ascii="Calibri" w:hAnsi="Calibri" w:cs="Calibri"/>
            <w:color w:val="0000FF"/>
          </w:rPr>
          <w:t>закон</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5" w:history="1">
        <w:r>
          <w:rPr>
            <w:rFonts w:ascii="Calibri" w:hAnsi="Calibri" w:cs="Calibri"/>
            <w:color w:val="0000FF"/>
          </w:rPr>
          <w:t>закон</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 следует отметить, что Указом Президента Российской Федерации от 13 апреля 2010 г. N 460 утверждена Национальная </w:t>
      </w:r>
      <w:hyperlink r:id="rId156" w:history="1">
        <w:r>
          <w:rPr>
            <w:rFonts w:ascii="Calibri" w:hAnsi="Calibri" w:cs="Calibri"/>
            <w:color w:val="0000FF"/>
          </w:rPr>
          <w:t>стратегия</w:t>
        </w:r>
      </w:hyperlink>
      <w:r>
        <w:rPr>
          <w:rFonts w:ascii="Calibri" w:hAnsi="Calibri" w:cs="Calibri"/>
        </w:rPr>
        <w:t xml:space="preserve"> противодействия коррупции, которая закрепляет основополагающие принципы и направления антикоррупционной деятельности. Указом Президента Российской Федерации от 13 марта 2012 г. N 297 утвержден Национальный </w:t>
      </w:r>
      <w:hyperlink r:id="rId157" w:history="1">
        <w:r>
          <w:rPr>
            <w:rFonts w:ascii="Calibri" w:hAnsi="Calibri" w:cs="Calibri"/>
            <w:color w:val="0000FF"/>
          </w:rPr>
          <w:t>план</w:t>
        </w:r>
      </w:hyperlink>
      <w:r>
        <w:rPr>
          <w:rFonts w:ascii="Calibri" w:hAnsi="Calibri" w:cs="Calibri"/>
        </w:rPr>
        <w:t xml:space="preserve"> противодействия коррупции на 2012 - 2013 годы, который является основным программным документом в данной сфере и предусматривает конкретные меры по реализации положений Национальной стратегии противодействия коррупции.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Концепции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 Кроме того, имеются сферы, выделившиеся из Концепции административной реформы в самостоятельные направления, способствующие совершенствованию системы государственного управления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осуществления аккредитации, а также приоритетные направления развития аккредитации в Российской Федерации установлены </w:t>
      </w:r>
      <w:hyperlink r:id="rId158" w:history="1">
        <w:r>
          <w:rPr>
            <w:rFonts w:ascii="Calibri" w:hAnsi="Calibri" w:cs="Calibri"/>
            <w:color w:val="0000FF"/>
          </w:rPr>
          <w:t>Концепцией</w:t>
        </w:r>
      </w:hyperlink>
      <w:r>
        <w:rPr>
          <w:rFonts w:ascii="Calibri" w:hAnsi="Calibri" w:cs="Calibri"/>
        </w:rPr>
        <w:t xml:space="preserve"> формирования единой национальной системы аккредитации в Российской Федерации, одобренной распоряжением Правительства Российской Федерации от 12 октября 2010 г. N 1760-р.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осуществления масштабных преобразований в сфере аккредитации обусловлена наличием следующих системных проблем: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прозрачных правил аккредитации, единых для всех участников рынка;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безопасности из-за выдачи аккредитованными организациями документов, удостоверяющих соответствие заданным требованиям, без проведения необходимых исследований (испытаний), измерений, экспертиз, оценок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полноценной ответственности аккредитованных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барьеров, препятствующих выходу на внешние рынки из-за отсутствия международного признания результатов аккредитации и оценки соответствия.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целями создания единой системы аккредитации являются обеспечение баланса интересов государства, хозяйствующих субъектов, общественных организаций и потребителей, повышение конкурентоспособности российской экономики, создание условий для развития предпринимательства на основе повышения качества товаров, работ и услуг, а также признания результатов аккредитации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9" w:history="1">
        <w:r>
          <w:rPr>
            <w:rFonts w:ascii="Calibri" w:hAnsi="Calibri" w:cs="Calibri"/>
            <w:color w:val="0000FF"/>
          </w:rPr>
          <w:t>Указом</w:t>
        </w:r>
      </w:hyperlink>
      <w:r>
        <w:rPr>
          <w:rFonts w:ascii="Calibri" w:hAnsi="Calibri" w:cs="Calibri"/>
        </w:rPr>
        <w:t xml:space="preserve"> Президента Российской Федерации "О единой национальной системе аккредитации" на Минэкономразвития России возложены функции по выработке и </w:t>
      </w:r>
      <w:r>
        <w:rPr>
          <w:rFonts w:ascii="Calibri" w:hAnsi="Calibri" w:cs="Calibri"/>
        </w:rPr>
        <w:lastRenderedPageBreak/>
        <w:t>реализации государственной политики и нормативно-правовому регулированию в сфере аккредитации, образована Федеральная служба по аккредитации (Росаккредитация), на которую возложены функции по формированию единой национальной системы аккредитации и осуществлению контроля деятельности аккредитованных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60" w:history="1">
        <w:r>
          <w:rPr>
            <w:rFonts w:ascii="Calibri" w:hAnsi="Calibri" w:cs="Calibri"/>
            <w:color w:val="0000FF"/>
          </w:rPr>
          <w:t>Указа</w:t>
        </w:r>
      </w:hyperlink>
      <w:r>
        <w:rPr>
          <w:rFonts w:ascii="Calibri" w:hAnsi="Calibri" w:cs="Calibri"/>
        </w:rPr>
        <w:t xml:space="preserve"> Президента Российской Федерации "О единой национальной системе аккредитации" и в соответствии с Концепцией формирования единой национальной системы аккредитации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утверждено </w:t>
      </w:r>
      <w:hyperlink r:id="rId161" w:history="1">
        <w:r>
          <w:rPr>
            <w:rFonts w:ascii="Calibri" w:hAnsi="Calibri" w:cs="Calibri"/>
            <w:color w:val="0000FF"/>
          </w:rPr>
          <w:t>Положение</w:t>
        </w:r>
      </w:hyperlink>
      <w:r>
        <w:rPr>
          <w:rFonts w:ascii="Calibri" w:hAnsi="Calibri" w:cs="Calibri"/>
        </w:rPr>
        <w:t xml:space="preserve"> о Федеральной службе по аккредитации, уточняющее функции федеральных органов исполнительной власти в сфере аккредитации (постановление Правительства Российской Федерации от 17 октября 2011 г. N 845);</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Минэкономразвития России создан совет по аккредитации, являющийся постоянно действующим совещательным органом, образованным в целях содействия выработке и реализации государственной политики и нормативно-правовому регулированию в сфере аккредитации, формированию единой национальной системы аккредитации и координации деятельности заинтересованных федеральных органов исполнительной власти, общественных объединений, научно-исследовательских и иных организаций в сфере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2011 года завершено проведение организационных мероприятий по созданию единого национального органа по аккредитации, обеспечена поэтапная передача полномочий федеральных органов исполнительной власти в сфере аккредитации, организована деятельность Росаккредитации по приему заявок на аккредитацию, проведению проверки соответствия заявителей критериям аккредитации, принятию решений об аккредитации и отказе в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совершенствования нормативно-правового регулирования в целях реализации Федерального </w:t>
      </w:r>
      <w:hyperlink r:id="rId162" w:history="1">
        <w:r>
          <w:rPr>
            <w:rFonts w:ascii="Calibri" w:hAnsi="Calibri" w:cs="Calibri"/>
            <w:color w:val="0000FF"/>
          </w:rPr>
          <w:t>закона</w:t>
        </w:r>
      </w:hyperlink>
      <w:r>
        <w:rPr>
          <w:rFonts w:ascii="Calibri" w:hAnsi="Calibri" w:cs="Calibri"/>
        </w:rPr>
        <w:t xml:space="preserve"> от 21 июля 2011 г. N 255-ФЗ "О внесении изменений в Федеральный закон "О техническом регулировании" приняты постановления Правительства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июня 2012 г. </w:t>
      </w:r>
      <w:hyperlink r:id="rId163" w:history="1">
        <w:r>
          <w:rPr>
            <w:rFonts w:ascii="Calibri" w:hAnsi="Calibri" w:cs="Calibri"/>
            <w:color w:val="0000FF"/>
          </w:rPr>
          <w:t>N 602</w:t>
        </w:r>
      </w:hyperlink>
      <w:r>
        <w:rPr>
          <w:rFonts w:ascii="Calibri" w:hAnsi="Calibri" w:cs="Calibri"/>
        </w:rPr>
        <w:t xml:space="preserve"> "Об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мая 2012 г. </w:t>
      </w:r>
      <w:hyperlink r:id="rId164" w:history="1">
        <w:r>
          <w:rPr>
            <w:rFonts w:ascii="Calibri" w:hAnsi="Calibri" w:cs="Calibri"/>
            <w:color w:val="0000FF"/>
          </w:rPr>
          <w:t>N 510</w:t>
        </w:r>
      </w:hyperlink>
      <w:r>
        <w:rPr>
          <w:rFonts w:ascii="Calibri" w:hAnsi="Calibri" w:cs="Calibri"/>
        </w:rPr>
        <w:t xml:space="preserve"> "Об утверждении Правил формирования и ведения реестра органов по сертификации и аккредитованных испытательных лабораторий (центров) и реестра экспертов по аккредитации, а также предоставления содержащихся в них сведений".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позволяет существенно усилить и расширить в первую очередь проблематику механизмов государственного регулирования (лицензирование, аккредитация, государственный (муниципальный) контроль и надзор, уведомительный порядок начала предпринимательской деятельности и т.д.) для комплексного анализа отдельных отраслей экономики.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98" w:name="Par2062"/>
      <w:bookmarkEnd w:id="98"/>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99" w:name="Par2068"/>
      <w:bookmarkEnd w:id="99"/>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государственной политики в сфере реализации подпрограммы является дальнейшее совершенствование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0" w:name="Par2073"/>
      <w:bookmarkEnd w:id="100"/>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Концепцией снижения административных барьеров и повышения </w:t>
      </w:r>
      <w:r>
        <w:rPr>
          <w:rFonts w:ascii="Calibri" w:hAnsi="Calibri" w:cs="Calibri"/>
        </w:rPr>
        <w:lastRenderedPageBreak/>
        <w:t>доступности государственных и муниципальных услуг на 2011 - 2013 годы, основными целями реализации подпрограммы являются повышение качества и доступности государственных и муниципальных услуг и снижение административных барьеров.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данных целей возможно через решение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предоставления государственных и муниципальных услуг, в том числе путем организации их предоставления по принципу "одного окна", в том числе в многофункциональных центрах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системы оценки эффективности деятельности федеральных органов исполнительной власти, высших исполнительных органов государственной власти субъектов Российской Федерации, деятельности органов местного самоуправления, а также повышение эффективности государственной службы и результативности профессиональной служебной деятельности государственных служащих;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информационной открытости и доступности органов государственной власти и органов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исполнения государственных и муниципальных функций, оптимизация разрешительной и контрольно-надзорной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национальной системы аккредитации, обеспечение взаимного признания результатов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достигнутых целей и решенных задач будет проверена через достижение следующих целевых индикаторов и показателей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 не менее 90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- 2;</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- 15 минут.</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1" w:name="Par2089"/>
      <w:bookmarkEnd w:id="101"/>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заключаются в оптимизации исполнения государственных (муниципальных) функций и предоставления государственных (муниципальных) услуг, повышении качества и доступности государственных (муниципальных) услуг, предоставляемых органами власти и местного самоуправления, повышении гарантий защиты прав юридических лиц и индивидуальных предпринимателей при проведении государственного контроля (надзора) и муниципального контроля, совершенствовании системы контроля и надзора, предполагающим сокращение административных ограничений предпринимательской 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2" w:name="Par2094"/>
      <w:bookmarkEnd w:id="102"/>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2013 - 2020 годы.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03" w:name="Par2098"/>
      <w:bookmarkEnd w:id="103"/>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состоит из трех основных мероприятий - "Совершенствование предоставления государственных и муниципальных услуг, исполнения государственных и муниципальных функций", "Снижение административных барьеров" и "Формирование единой </w:t>
      </w:r>
      <w:r>
        <w:rPr>
          <w:rFonts w:ascii="Calibri" w:hAnsi="Calibri" w:cs="Calibri"/>
        </w:rPr>
        <w:lastRenderedPageBreak/>
        <w:t>национальной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данных основных мероприятий приходятся на 2012 - 2020 гг. (с возможным продлением с учетом результатов реализации данных основных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4" w:name="Par2103"/>
      <w:bookmarkEnd w:id="104"/>
      <w:r>
        <w:rPr>
          <w:rFonts w:ascii="Calibri" w:hAnsi="Calibri" w:cs="Calibri"/>
        </w:rPr>
        <w:t>1. Совершенствование предоставления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исполнения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оптимизировать исполнение государственных (муниципальных) функций и предоставление государственных (муниципальных) услуг, повысить качество и доступность государственных (муниципальных) услуг, предоставляемых органами власти, обеспечить организацию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и в электронной форме. В случае нереализации данного основного мероприятия будут наблюдаться снижение качества государственного управления и неудовлетворенность населения качеством предоставляемых государством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5" w:name="Par2109"/>
      <w:bookmarkEnd w:id="105"/>
      <w:r>
        <w:rPr>
          <w:rFonts w:ascii="Calibri" w:hAnsi="Calibri" w:cs="Calibri"/>
        </w:rPr>
        <w:t>2. Снижение административных барьеров</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позволит повысить гарантии защиты прав юридических лиц и индивидуальных предпринимателей при проведении государственного контроля (надзора) и муниципального контроля, усовершенствовать систему контроля и надзора, сократить административные ограничения предпринимательской деятельности. В случае его нереализации будут наблюдаться снижение инвестиционного климата, рост административных барьеров для бизнеса.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06" w:name="Par2113"/>
      <w:bookmarkEnd w:id="106"/>
      <w:r>
        <w:rPr>
          <w:rFonts w:ascii="Calibri" w:hAnsi="Calibri" w:cs="Calibri"/>
        </w:rPr>
        <w:t>3. Формирование единой национальной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данного основного мероприятия будет осуществлен комплекс мероприятий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в целях создания единой национальной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информационно-телекоммуникационной инфраструктуры национального органа по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деятельности аккредитованных лиц;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обеспечение создания института независимых экспертов по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07" w:name="Par2121"/>
      <w:bookmarkEnd w:id="107"/>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реализация общесистемных мер правового регулирования, направленных на снижение административных барьеров и повышение доступности государственных и муниципальных услуг, в том числе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лицензирования;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 и процессов, сертификации;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практики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предоставления государственных (муниципальных) услуг, исполнения государственных (муниципальных)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контрольной (надзорной)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деятельности органов исполнительной власти и органов </w:t>
      </w:r>
      <w:r>
        <w:rPr>
          <w:rFonts w:ascii="Calibri" w:hAnsi="Calibri" w:cs="Calibri"/>
        </w:rPr>
        <w:lastRenderedPageBreak/>
        <w:t>местного самоуправления, их информационной открытости;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квалификации государственных служащих, принимающих участие в предоставлении государственных услуг.</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08" w:name="Par2133"/>
      <w:bookmarkEnd w:id="108"/>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09" w:name="Par2138"/>
      <w:bookmarkEnd w:id="109"/>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участие в реализации мероприятий подпрограммы на основе реализации региональных программ, направленных на повышение качества государственных и муниципальных услуг и снижение административных барьеров.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субъектов Российской Федерации направлены, прежде всего,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оказания государственных услуг, создание МФЦ, переход к обслуживанию граждан и организаций по принципу "одного окна";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осуществления контрольно-надзорных функций, в т.ч. в рамках реализации положений Федерального </w:t>
      </w:r>
      <w:hyperlink r:id="rId165"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мониторинга качества предоставления государственных и муниципальных услуг, уровня административных барьеров, уровня удовлетворенности населением деятельностью органов исполнительной власти и местного самоуправления по организации предоставления государственных и муниципальных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0" w:name="Par2148"/>
      <w:bookmarkEnd w:id="110"/>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участие федерального государственного унитарного предприятия "Почта России", иных организаций с развитой филиальной сетью в реализации функций многофункциональных центров предоставления государственных и муниципальных услуг с целью обеспечения доступности государственных и муниципальных услуг населению.</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1" w:name="Par2156"/>
      <w:bookmarkEnd w:id="111"/>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подпрограммы формируются за счет средств федерального бюджета, консолидированных бюджетов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Запланированные объемы финансирования подпрограммы в 2013 - 2020 годах за счет средств федерального бюджета составят 2066513,20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расходы федерального бюджета в 2013 - 2020 годах, связанные с реализацией мероприятий по повышению качества предоставления государственных и муниципальных услуг, направленных на достижение показателей согласно </w:t>
      </w:r>
      <w:hyperlink r:id="rId166" w:history="1">
        <w:r>
          <w:rPr>
            <w:rFonts w:ascii="Calibri" w:hAnsi="Calibri" w:cs="Calibri"/>
            <w:color w:val="0000FF"/>
          </w:rPr>
          <w:t>пункту 1</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составят 10 341 150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2" w:name="Par2163"/>
      <w:bookmarkEnd w:id="112"/>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 с учетом мониторинга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предусмотренных подпрограммой мероприятий предполагает взаимоувязанные меры на федеральном, региональном и муниципальном уровне. В этой связи особое значение имеет риск нескоординированности мероприятий, что может привести к недостижению запланированных показателей, отставанию по степени выполнения мероприятий подпрограммы отдельных федеральных органов исполнительной власти, субъектов Российской Федерации, органов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целесообразным способом контроля рисков является создание системы контроля (в настоящее время обеспечено на федеральном и региональном уровне), а также интенсивное взаимодействие с участниками мероприятий, мотивирование участников к реализации мероприятий путем направления им поручений регионального и федерального руководства.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не произойдет запланированного улучшения показателей по сравнению с показателями 2012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рисков, связанных с отраслевой спецификой мер по повышению качества государственного управления, предпринимаются Минэкономразвития России в рамках координации деятельности, направленной на совершенствование государственного и муниципального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реализации основного мероприятия "Формирование единой национальной системы аккредитации" основные риски, связаны с возможными политическими сложностями в части с признания российской системы аккредитации международным сообществом.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13" w:name="Par2173"/>
      <w:bookmarkEnd w:id="113"/>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инноваций"</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4" w:name="Par2176"/>
      <w:bookmarkEnd w:id="114"/>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инноваций" государственной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52"/>
        <w:gridCol w:w="300"/>
        <w:gridCol w:w="5924"/>
      </w:tblGrid>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"Фонд содействия развитию малых форм предприятий в научно-технической сфере"</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инновационной активности бизнеса</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Улучшение координации между существующими и создаваемыми элементами и блоками инновационной 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повышения спроса на инновации со стороны субъектов экономической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и развитие механизмов комплексной поддержки инновационной деятельности на всех стадиях.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институтов развития в сфере инноваций.</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 единиц. Доля заявок на государственную регистрацию интеллектуальной собственности, поданных в электронном виде, процентов.</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82 289 460,50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- 17 422 124,10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- 12 414 069,80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- 12 158 583,80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- 9 232 677,52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- 8 917 962,62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- 7 692 393,34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- 7 153 632,28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- 7 298 017,04 тыс. рублей</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7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0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59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инновационной активности субъектов экономической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Появление и развитие новых рынков, продуктов и технологий.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технологической модернизации ключевых секторов, определяющих роль и место России в мировой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интеграции России в глобальную инновационную систему.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бюджетных средств на цели стимулирования инноваций институтами развития.</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5" w:name="Par2231"/>
      <w:bookmarkEnd w:id="115"/>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Единственным возможным способом обеспечения высокого уровня благосостояния населения, закрепления геополитической роли страны как одного из глобальных лидеров, </w:t>
      </w:r>
      <w:r>
        <w:rPr>
          <w:rFonts w:ascii="Calibri" w:hAnsi="Calibri" w:cs="Calibri"/>
        </w:rPr>
        <w:lastRenderedPageBreak/>
        <w:t>определяющих мировую политическую повестку дня, является переход экономики на инновационную социально-ориентированную модель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из внешних вызовов в части инновационного развития является ускорение технологического развития мировой экономики. Реальными конкурентами России становятся не только страны-лидеры в сфере инноваций, но и многие развивающиеся страны, страны СНГ. При этом переход экономик стран-лидеров на следующий (шестой) технологический уклад, технологическая революция в ресурсосбережении и альтернативной энергетике резко повышают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(сланцы, нефтеносные пески и т.д.) может привести к снижению спроса и цен на ключевые товары российского сырьевого экспорта, сокращению поступления в экономику финансовых ресурсов, необходимых для модернизации, снижению значимости России в глобальной политике.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2008 - 2009 годов усилил важность этого вызова для России. Связано это в первую очередь с тем, что инвестиции в технологическое развитие, в "инновационный рывок" рассматривались развитыми странами (США, Япония, "старые" члены ЕС), а также растущими экономиками Китая, Индии, Бразилии в качестве ключевой антикризисной меры.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которые предполагалось осуществлять в течение нескольких лет, были резко "приближены" - в рамках антикризисных пакетов развитых стран на развитие медицины, биотехнологий, альтернативной и возобновляемой энергетики, атомной отрасли, информационных технологий направлены десятки миллиардов долларов дополнительных инвестиций. Столь мощные финансовые вливания могут на 3 - 5 лет приблизить смену технологического уклада.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перспективные в плане инновационного развития и повышения доли высокотехнологичного производства в ВВП сектора национальной экономики оказались в числе наиболее пострадавших от кризиса. Существующей бюджетной поддержки оказывается недостаточно для резкого повышения глобальной конкурентоспособности и экспансии на внешние рынки.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 повестке дня вызовы, с которыми сталкивается не только наша страна, но и человечество в целом - изменение климата, старение населения и вызовы здравоохранения, продовольственная безопасность в глобальном масштабе.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предпринимаются значительные усилия по реформированию национальной инновационной системы в ответ на существующие и формирующиеся новые вызовы.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значительно увеличено финансирование науки за счет средств государства - как в части фундаментальной науки (в 1,6 раза за период 2006 - 2008 годов), так и в части прикладных разработок, в том числе через механизм федеральных целевых программ, через государственные фонды финансирования науки.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усилия направлены на стимулирование исследовательской деятельности и инновационного развития в высшем образовании. Реализуются меры по привлечению к исследовательской работе в российских вузах ученых с мировым именем, по поддержке кооперации вузов с предприятиями, дальнейшему развитию вузовской инновационной инфраструктуры (на эти цели из федерального бюджета в течение трех лет с 2010 по 2012 годы выделено около 90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работа по формированию национальных исследовательских центров (первый такой центр создан на базе Курчатовского института).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Созданы основные элементы системы институтов развития в сфере инноваций, включающей институты предпосевного и посевного финансирования (Фонд содействия развитию малых форм предприятий в научно-технической сфере, Фонд развития Центра разработки и коммерциализации новых технологий), венчурные фонды (с государственным участием через ОАО "Российская венчурная компания"), Российский фонд технологического развития, Банк развития и внешнеэкономической деятельности (Внешэкономбанк) и его дочернее подразделение ОАО "МСП Банк", ОАО "РОСНАНО", Фонд инфраструктурных и образовательных программ, поддерживающие проекты в сфере нанотехнологий.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инфраструктура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наукограды, технопарки, бизнес-инкубаторы при вузах, центры трансфера технологий, центры коллективного пользования уникальным оборудованием и др. Начата на конкурсной основе поддержка создания и развития инновационных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Проведена значительная работа по совершенствованию правового режима инновационной деятельности, включая изменения Федерального </w:t>
      </w:r>
      <w:hyperlink r:id="rId167" w:history="1">
        <w:r>
          <w:rPr>
            <w:rFonts w:ascii="Calibri" w:hAnsi="Calibri" w:cs="Calibri"/>
            <w:color w:val="0000FF"/>
          </w:rPr>
          <w:t>закона</w:t>
        </w:r>
      </w:hyperlink>
      <w:r>
        <w:rPr>
          <w:rFonts w:ascii="Calibri" w:hAnsi="Calibri" w:cs="Calibri"/>
        </w:rPr>
        <w:t xml:space="preserve"> "О науке и научно-технической политике", создание новой организационно-правовой формы и нового вида гражданско-правового договора удобных для венчурного финансирования. Совершенствуется валютное, таможенное, налоговое, трудовое и миграционное законодательство в сфере развития инновационной деятельности, регулирование экспорта инновационной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целом состояние российской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удалость переломить ряд значимых для инновационного развития негативных тенденций, существенно ускорить процесс интеграции национальной инновационной системы в глобальную, а также кардинально повысить инновационную активность и эффективность работы компаний, в том числе государственных,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в том числе через прикладные исследования, государственных академий наук и вузов в России до уровня развитых стран ОЭСР. 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Несмотря на предпринятые государством значительные усилия, осталась нерешенной проблема старения научных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приоритезация задач по поддержке инновационной активности бизнеса, развитию человеческого капитала, поддержке инноваций в регионах и целого ряда других не позволили обеспечить необходимую комплексность подхода и ликвидацию "узких мест" в инновационной системе страны.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 сегодняшний момент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преодолеть негативные тенденции и заложить основы долгосрочной конкурентоспособности экономики. Инновационное развитие будет становиться все более важным источником экономического роста через повышение производительности всех факторов производства во всех секторах экономики, расширение рынков и повышение конкурентоспособности продукции, через создание новых отраслей, наращивание инвестиционной активности, рост доходов населения и объемов потребления и т.д. По оценкам, инновационное развитие обеспечит дополнительные 0,8 процентных пункта ежегодного экономического роста сверх "инерционного" сценария развития, начиная с 2015 года.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16" w:name="Par2255"/>
      <w:bookmarkEnd w:id="116"/>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17" w:name="Par2261"/>
      <w:bookmarkEnd w:id="117"/>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N 404п-П13;</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Комплексной </w:t>
      </w:r>
      <w:hyperlink r:id="rId170" w:history="1">
        <w:r>
          <w:rPr>
            <w:rFonts w:ascii="Calibri" w:hAnsi="Calibri" w:cs="Calibri"/>
            <w:color w:val="0000FF"/>
          </w:rPr>
          <w:t>программы</w:t>
        </w:r>
      </w:hyperlink>
      <w:r>
        <w:rPr>
          <w:rFonts w:ascii="Calibri" w:hAnsi="Calibri" w:cs="Calibri"/>
        </w:rPr>
        <w:t xml:space="preserve"> развития биотехнологий в Российской Федерации на период до 2020 года, утвержденной Правительством Российской Федерации 24 апреля 2012 г. N 1853п-П8.</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а также </w:t>
      </w:r>
      <w:hyperlink r:id="rId172"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определены следующие приоритеты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существующего бизнеса и динамики появления новых инновационных компаний. Будет проведена работа по стимулированию инновационного поведения компаний с государственным участием и естественных монополий, устранению в системе государственного регулирования барьеров, препятствующих развитию конкуренции и наращиванию инновационной активности, формированию механизмов государственно-частного партнерства;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радикальное повышение эффективности и результативности "проводящей" инфраструктуры, обеспечивающей коммерциализацию результатов научных исследований и освоение новых технологий. Одним из основных инструментов государственной поддержки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политики по инновационному развитию регионов и создание сети территориально-производственных кластеров, реализующих конкурентный потенциал территорий, формирование ряда инновационных высокотехнологичных кластеров в европейской и азиатской части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18" w:name="Par2276"/>
      <w:bookmarkEnd w:id="118"/>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инновационной активности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задачи: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улучшение координации между существующими и создаваемыми элементами и блоками инновационной 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Слаженное взаимодействие существующих и создаваемых элементов и блоков инновационной системы - сектора исследований и разработок, коммерциализации, </w:t>
      </w:r>
      <w:r>
        <w:rPr>
          <w:rFonts w:ascii="Calibri" w:hAnsi="Calibri" w:cs="Calibri"/>
        </w:rPr>
        <w:lastRenderedPageBreak/>
        <w:t>инновационного бизнеса, инструментов региональной инновационной политики - главный резерв повышения эффективности национальной инновационной системы. В условиях перевода российской экономики на инновационный путь развития также необходимо обеспечить совершенствование процедур предоставления правовой охраны объектам интеллектуальной собственности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обеспечение повышения спроса на инновации со стороны субъектов экономической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резкое, кратное повышение инновационной активности существующего бизнеса и динамики появления новых инновационных компаний. Бизнес должен воспринимать инновации не как "хобби", и тем более не как обязанность перед государством, а как жизненно важную для перспектив развития компании, повышения эффективности и занятия лидерских позиций на рынках модель поведения.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 создание и развитие механизмов комплексной поддержки инновационной деятельности на всех стадиях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сформировать целостную систему поддержки инновационной деятельности компаний, старта новых инновационных бизнесов по облегчению и стимулированию связей между различными участниками инновационных процессов (например, между крупными компаниями и малым и средним бизнесом, между бизнесом и научно-образовательными организациями), по выявлению проектов, развивающих конкурентные преимущества страны по приоритетных направлениям технологического развития, и предоставлению им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 повышение эффективности функционирования институтов развития в сфере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необходимо осуществить ряд мер, направленных на повышение эффективности их функционирования, в том числе посредством формирования системы ключевых показателей эффективности деятельности институтов развития во взаимосвязи со Стратегией инновационного развития Российской Федерации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задач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19" w:name="Par2296"/>
      <w:bookmarkEnd w:id="119"/>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выполнения подпрограммы является реализация всех мероприятий и достижение всех указанных показателей.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ожидаются следующие результаты: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организаций, осуществлявших технологические инновации, в общем числе организаций с 9,2 процента в 2012 году до 25 процентов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количества вновь созданных малых инновационных предприятий при </w:t>
      </w:r>
      <w:r>
        <w:rPr>
          <w:rFonts w:ascii="Calibri" w:hAnsi="Calibri" w:cs="Calibri"/>
        </w:rPr>
        <w:lastRenderedPageBreak/>
        <w:t>поддержке Фонда содействия развитию малых форм предприятий в научно-технической сфере с 490 единиц в 2012 году до 850 единиц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к 2020 году возрастет до 15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будет составлять 7 единиц;</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доля заявок на государственную регистрацию интеллектуальной собственности, поданных в электронном виде с 3 процентов в 2012 году до 75 процентов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0" w:name="Par2307"/>
      <w:bookmarkEnd w:id="120"/>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left="540"/>
        <w:jc w:val="both"/>
        <w:rPr>
          <w:rFonts w:ascii="Calibri" w:hAnsi="Calibri" w:cs="Calibri"/>
        </w:rPr>
      </w:pPr>
      <w:r>
        <w:rPr>
          <w:rFonts w:ascii="Calibri" w:hAnsi="Calibri" w:cs="Calibri"/>
        </w:rPr>
        <w:t>Срок реализации мероприятий подпрограммы - 2013 - 2020 годы.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21" w:name="Par2311"/>
      <w:bookmarkEnd w:id="121"/>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2" w:name="Par2313"/>
      <w:bookmarkEnd w:id="122"/>
      <w:r>
        <w:rPr>
          <w:rFonts w:ascii="Calibri" w:hAnsi="Calibri" w:cs="Calibri"/>
        </w:rPr>
        <w:t>1. Обеспечение координации инновационной политики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координации инновационной политики Российской Федерации разработана Стратегия инновационного развития Российской Федерации на период до 2020 года и будет обеспечен мониторинг ее реализации. Стратегия задает четкую систему целей и приоритетов государственной инновационной политики и позволит перейти от реализации отдельных программ и мер в этой области к формированию целостной инновационной системы. Положения Стратегии являются важным элементом конкретизации поставленных в Концепции долгосрочного социально-экономического развития Российской Федерации на период до 2020 года задач в сфере инновационного развития и будут способствовать взаимоувязанной и единонаправленной политике при формировании отраслевых стратегий, государственных программ, стратегий социально-экономического развития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3" w:name="Par2318"/>
      <w:bookmarkEnd w:id="123"/>
      <w:r>
        <w:rPr>
          <w:rFonts w:ascii="Calibri" w:hAnsi="Calibri" w:cs="Calibri"/>
        </w:rPr>
        <w:t>2. Поддержка создания и обеспечение функционирования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технологических платформ бизнес, наука, государство и потребители будут вырабатывать общее видение перспектив технологического развития соответствующей отрасли или технологического направления, формировать и реализовывать перспективную программу исследований и разработок. Федеральные органы исполнительной власти обеспечат включение выработанных в рамках технологических платформ приоритетов в существующие механизмы поддержки исследований и разработок (федеральные целевые программы, государственные программы, программы фундаментальных исследований). В целях ускоренного формирования стратегических программ исследований и повышения их качества будет проработан вопрос об оказании технологическим платформам поддержки в виде субсидий на разработку стратегических программ исследований и организацию их деятельности. Будет обеспечен мониторинг эффективности деятельности технологических платформ, в том числе контроль за соблюдением ключевых принципов деятельности технологических платформ - открытостью для новых участников и соблюдением интересов всех заинтересованных сторон, участвующих в деятельности технологической платформы. По мере появления новых заявок на создание технологической платформы будет обеспечено их рассмотрение в рамках деятельности Совета при Президенте Российской Федерации по модернизации экономики и инновационному развитию России, включение в случае одобрения в утвержденный перечень технологических платформ, а в случае выявления их неэффективности исключение из указанного перечня.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4" w:name="Par2323"/>
      <w:bookmarkEnd w:id="124"/>
      <w:r>
        <w:rPr>
          <w:rFonts w:ascii="Calibri" w:hAnsi="Calibri" w:cs="Calibri"/>
        </w:rPr>
        <w:lastRenderedPageBreak/>
        <w:t>3. Обеспечение координации реализации Комплексной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биотехнологий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биотехнологического сектора в Российской Федерации, а также выхода России на лидирующие позиции в области биотехнологий, разработана Комплексная </w:t>
      </w:r>
      <w:hyperlink r:id="rId173" w:history="1">
        <w:r>
          <w:rPr>
            <w:rFonts w:ascii="Calibri" w:hAnsi="Calibri" w:cs="Calibri"/>
            <w:color w:val="0000FF"/>
          </w:rPr>
          <w:t>программа</w:t>
        </w:r>
      </w:hyperlink>
      <w:r>
        <w:rPr>
          <w:rFonts w:ascii="Calibri" w:hAnsi="Calibri" w:cs="Calibri"/>
        </w:rPr>
        <w:t xml:space="preserve"> развития биотехнологий в Российской Федерации на период до 2020 года (Программа БИО-2020), утвержденная Правительством Российской Федерации 24 апреля 2012 г. N 1853п-П8.</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Координатором реализации программы является Минэкономразвития России, обеспечивающее контроль за учетом положений </w:t>
      </w:r>
      <w:hyperlink r:id="rId174" w:history="1">
        <w:r>
          <w:rPr>
            <w:rFonts w:ascii="Calibri" w:hAnsi="Calibri" w:cs="Calibri"/>
            <w:color w:val="0000FF"/>
          </w:rPr>
          <w:t>Программы</w:t>
        </w:r>
      </w:hyperlink>
      <w:r>
        <w:rPr>
          <w:rFonts w:ascii="Calibri" w:hAnsi="Calibri" w:cs="Calibri"/>
        </w:rPr>
        <w:t xml:space="preserve"> БИО-2020 в государственных программах Российской Федерации федеральными органами исполнительной власти, повышение эффективности их взаимодействия в целях выработки мер по поддержке и развитию сектора биотехнологий.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175" w:history="1">
        <w:r>
          <w:rPr>
            <w:rFonts w:ascii="Calibri" w:hAnsi="Calibri" w:cs="Calibri"/>
            <w:color w:val="0000FF"/>
          </w:rPr>
          <w:t>Программы</w:t>
        </w:r>
      </w:hyperlink>
      <w:r>
        <w:rPr>
          <w:rFonts w:ascii="Calibri" w:hAnsi="Calibri" w:cs="Calibri"/>
        </w:rPr>
        <w:t xml:space="preserve"> БИО-2020 запланирован выход на уровень производства биотехнологической продукции в России в размере около 1 процента ВВП к 2020 году и создание условий для достижения сектором объемов не менее 3 процентов ВВП к 2030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по достижению запланированной цели будет обеспечено формирование координационных и совещательных организационных структур, информационно-аналитической системы поддержки развития биотехнологий, включая формирование необходимого статистического учета, и обеспечен мониторинг реализации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5" w:name="Par2332"/>
      <w:bookmarkEnd w:id="125"/>
      <w:r>
        <w:rPr>
          <w:rFonts w:ascii="Calibri" w:hAnsi="Calibri" w:cs="Calibri"/>
        </w:rPr>
        <w:t>4. Стимулирование инноваций в компаниях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Крупные компании с государственным участием являются одним из важнейших структурных элементов российской экономики. Переход этих компаний к реализации активной инновационной политики позволит существенно расширить спрос на инновации, сформировать значимые прогрессивные технологические изменения в российской экономике.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программы будут формироваться на среднесрочный период (5 - 7 лет) с учетом государственных приоритетов научно-технологического развития и должны содержать мероприятия, направленные на разработку и внедрение новых технологий, продуктов и услуг, соответствующих мировому уровню и значительное улучшение основных показателей эффективности производственного процесса.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их объем финансирования НИОКР за счет собственных средств (в процентах к выручке, без учета бюджетных средств, используемых компаниями для проведения НИОКР) должен в целом соответствовать аналогичным расходам крупнейших зарубежных компаний, работающих в сходных отраслях с установлением определенного переходного периода (3 - 5 лет) для их достижения.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разработки программ будет обеспечено формирование корпоративного видения в части создания новых (для отечественного рынка, для страны, для глобального рынка) технологий, продуктов, услуг на период до 10 лет. В рамках программ должна быть предусмотрена реализация мер по выстраиванию эффективной корпоративной инновационной системы, обеспечивающей, в том числе увеличение взаимодействия с внешними источниками инноваций (в т.ч. вузами, малым и средним бизнесом, технологическими платформами, территориальными инновационными кластерами, инновационными институтами развития), развитие внутрифирменной науки, разработку и внедрение новых технологий, освоение производства новых продуктов, а также по формированию долгосрочной корпоративной научно-технологической политики, по совершенствованию внутрикорпоративных механизмов </w:t>
      </w:r>
      <w:r>
        <w:rPr>
          <w:rFonts w:ascii="Calibri" w:hAnsi="Calibri" w:cs="Calibri"/>
        </w:rPr>
        <w:lastRenderedPageBreak/>
        <w:t>планирования инновационной деятельности и оценки достигнутых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оценка хода реализации указанных программ будет осуществляться в рамках деятельности Совета при Президенте Российской Федерации по модернизации экономики и инновационному развитию России. Указанная оценка будет осуществляется в целях содействия реализации программ и достижения запланированных показателей.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6" w:name="Par2342"/>
      <w:bookmarkEnd w:id="126"/>
      <w:r>
        <w:rPr>
          <w:rFonts w:ascii="Calibri" w:hAnsi="Calibri" w:cs="Calibri"/>
        </w:rPr>
        <w:t>5. Мероприятия по реализации проектов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при Президенте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и технологическому развитию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России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реализации проектов по приоритетным направлениям технологического развития, определенных Комиссией при Президенте Российской Федерации по модернизации и технологическому развитию экономики России, будет важным элементом активизации и координации усилий науки, образования и бизнеса. В рамках данной поддержки дополнительное финансирование получат проекты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Прорывные проекты в приоритетных областях технологического развития способны существенно улучшить качество жизни граждан, создать новые, быстро растущие рынки товаров и услуг с высокой добавленной стоимостью, позволят отечественным предприятиям успешно конкурировать на мировых рынках и встраиваться в глобальные цепочки создания добавленной стоимости в наиболее привлекательных сегментах.</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7" w:name="Par2350"/>
      <w:bookmarkEnd w:id="127"/>
      <w:r>
        <w:rPr>
          <w:rFonts w:ascii="Calibri" w:hAnsi="Calibri" w:cs="Calibri"/>
        </w:rPr>
        <w:t>6. Создание и развитие институтов и инфраструктур,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обеспечивающих запуск и работу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инструментом обеспечения координации хозяйствующих субъектов в целях поддержки инновационной деятельности станет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 (далее - Соглашение) обеспечило закрепление основных принципов и механизмов такого взаимодействия. В рамках "инновационного лифта"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"Инновационный лифт" также должен стать инструментом "стыковки" сферы исследований и разработок с бизнесом, формирования новых предприятий на основе результатов прикладных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такого координационного механизма будут взаимодействовать Фонд содействия развитию малых форм предприятий в научно-технической сфере (далее - Фонд содействия), Российский фонд технологического развития (РФТР), ОАО "Российская венчурная компания" (ОАО "РВК"), а также венчурные и посевные фонды, созданные с ее участием, ОАО "РОСНАНО", венчурные фонды, созданные при участии ОАО "РОСНАНО", Фонд инфраструктурных и образовательных программ, Внешэкономбанк, ОАО "МСП Банк", Фонд развития Центра разработки и коммерциализации новых технологий (далее - Фонд "Сколково"), отдельные федеральные органы исполнительной власти (Росмолодежь), общественные организации - ОПОРА РОССИИ, Российская ассоциация венчурного инвестирования, а также специализированная торговая площадка ММВБ для высокотехнологичных компаний "Рынок инноваций и инвестиций". Для оперативной координации деятельности участников Соглашения во Внешэкономбанке создана постоянно действующая рабочая группа с участием представителей всех участников Соглашения.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"инновационного лифта" каждый из участников Соглашения оказывает поддержку инновационным проектам на "закрепленных" за ним стадиях инновационного цикла с </w:t>
      </w:r>
      <w:r>
        <w:rPr>
          <w:rFonts w:ascii="Calibri" w:hAnsi="Calibri" w:cs="Calibri"/>
        </w:rPr>
        <w:lastRenderedPageBreak/>
        <w:t>использованием соответствующих инструментов и с учетом характера деятельности заявителей. При этом каждый участник в случае невозможности поддержки инновационного проекта обеспечивает его передачу на рассмотрение другим участникам, имеющим возможность оказания такому проекту поддержки. Механизмы поддержки инновационных проектов (компаний) участниками Соглашения имеют как финансовый характер (участие в капитале, предоставление займов и грантов, финансирование НИОКР в рамках госконтрактов), так и нефинансовый (экспертная и консультационная поддержка).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осуществлению информационно-просветительской и образовательной поддержки деятельности инициаторов инновационных проектов на всех стадиях "инновационного лифта" Соглашением отнесены к сфере ответственности общественных организаций - ОПОРЫ РОССИИ и Российской ассоциации венчурного инвестирования.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допосевной стадии развития в поддержке инновационной деятельности участвуют Росмолодежь, Фонд содействия и Фонд "Сколково". За Росмолодежью закреплена задача генерации проектов ранних стадий, а Фонд содействия и Фонд "Сколково" оказывают инновационным проектам финансовую поддержку (путем финансирования НИОКР в рамках программ Фонда содействия "Умник" на основе конкурсного отбора и в части обеспечения возможности присвоения инновационным компаниям статуса участника инновационного центра "Сколково" и оказания им Фондом "Сколково" финансовой (в форме грантов), инфраструктурной и консалтинговой поддержки). Кроме того, Фонд содействия формирует поток проектов для последующего их финансирования другими институтами развития на стадии перехода от грантовых форм поддержки к инвестиционным.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участников Соглашения на данной стадии инновационного цикла является формирование условий для создания максимально возможного количества малых инновационных компаний, в том числе при высших образовательных и научных учреждениях, осуществляющих коммерциализацию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предоставления финансовой и нефинансовой поддержки и для динамичного роста выручки данных компаний, через отбор и поддержку конкурентоспособных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посевной стадии развития основная финансовая поддержка инновационным проектам оказывается ООО "Фонд посевных инвестиций РВК" посредством участия в уставном капитале проектных компаний, Фондом содействия (путем предоставления средств по программе "СТАРТ"), а также Фондом "Сколково" (через предоставление резидентам инновационного центра "Сколково" грантов на более жестких условиях, чем на предпосевной стадии). В поиске инновационных проектов на посевной стадии оказывают содействие венчурные партнеры Фонда посевных инвестиций РВК - опытные частные венчурные инвесторы, сотрудничающие с ОАО "РВК".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целью участников Соглашения являются увеличение количества малых инновационных компаний на посевной стадии, имеющих потенциал роста, и создание условий для их стабильного развития, включая формирование управленческих команд, обеспечение финансированием, необходимыми консультациями.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ранней стадии развития (стартап) инновационным проектам оказывают поддержку ОАО "РВК" посредством предоставления венчурных инвестиций через систему софинансируемых венчурных фондов, фонды прямых (венчурных) инвестиций ОАО "РОСНАНО". Кроме того, ОАО "РВК" во взаимодействии с другими институтами развития обеспечивает формирование самостоятельно развивающейся венчурной отрасли экономики и инновационно-технологического предпринимательства, оказывает поддержку сервисной инфраструктуры венчурного предпринимательства (за счет средств софинансируемого им ООО "Инфраструктурный фонд РВК").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финансирование инновационных проектов на данной стадии осуществляет ОАО "МСП Банк", предоставляющий в рамках реализации программ по поддержке инновационных и модернизационных проектов субъектов малого и среднего предпринимательства льготные кредиты через систему коммерческих банков-партнеров.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Ключевая цель участников Соглашения на данной стадии инновационного цикла - увеличение количества созданных малых и средних инновационных предприятий, рост объемов выпускаемой ими продукции, развитие имеющихся у них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предпосевной, посевной и ранней стадиях инновационного цикла инициаторам проектов и малым инновационным компаниям оказывает поддержку дочерняя организация ОАО "РОСНАНО" - Фонд инфраструктурных и образовательных программ, который формирует технологическую инфраструктуру (включающую в себя, в том числе наноцентры, технологические инжиниринговые компании, центры трансфера и коммерциализации технологий, технопарки), способствующую развитию нанотехнологических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поддержки субъектов малого и среднего предпринимательства в сфере инноваций на ранней стадии развития инновационного цикла также будет продолжена реализация мероприятий в рамках </w:t>
      </w:r>
      <w:hyperlink r:id="rId17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программа поддержки МСБ) в части содействия малому и среднему инновационному предпринимательству посредством предоставления субсидий малым и средним предприятиям по различным направлениям (предоставление грантов создаваемым при высших учебных заведениях компаниям; реализация образовательных программ; поддержка действующих инновационных компаний, участвующих в мероприятиях, связанных с продвижением на региональные и международные рынки продукции; субсидии на компенсацию затрат по разработке новых продуктов и услуг; субсидирование процентной ставки по кредитам), создания гарантийных фондов, объектов инфраструктуры поддержки малого и среднего предпринимательства в научно-технической сфере (технопарков, промышленных парков, центров кластерного развития, бизнес-инкубаторов и др.) и региональных венчурных фондов инвестиций в малые предприятия в научно-технической сфере. Реализация основных мероприятий указанной программы поддержки МСБ позволит повысить инновационную активность бизнеса. В дальнейшем предполагается совершенствование данной программы с учетом предложений бизнеса и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стадии расширения и роста важное место в удовлетворении потребностей в финансировании инновационных компаний занимают Внешэкономбанк (предоставление займов и гарантий), ОАО "РОСНАНО" (финансирование инновационных проектов в сфере нанотехнологий в форме участия в капитале проектных компаний, предоставления займов и гарантийной поддержки), РФТР (предоставляет льготное заемное финансирование НИОКР и организационно-управленческую поддержку проектов ходе их реализации). Также следует отметить, что РФТР является базовым институтом развития, координирующим реализацию инновационных проектов с участием среднего и крупного частного бизнеса, профессиональных групп разработчиков и малых инновационных компаний в рамках технологических платформ (необходимые для развития деятельности РФТР средства отражены в государственной </w:t>
      </w:r>
      <w:hyperlink r:id="rId177" w:history="1">
        <w:r>
          <w:rPr>
            <w:rFonts w:ascii="Calibri" w:hAnsi="Calibri" w:cs="Calibri"/>
            <w:color w:val="0000FF"/>
          </w:rPr>
          <w:t>программе</w:t>
        </w:r>
      </w:hyperlink>
      <w:r>
        <w:rPr>
          <w:rFonts w:ascii="Calibri" w:hAnsi="Calibri" w:cs="Calibri"/>
        </w:rPr>
        <w:t xml:space="preserve"> Российской Федерации "Развитие науки и технологий", утвержденной распоряжением Правительства Российской Федерации от 20 декабря 2012 г. N 2433-р).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участников Соглашения на данной стадии - увеличение количества крупных компаний, деятельность которых основана на использовании инноваций, и рост их капитализации посредством формирования условий для привлечения в них (на реализацию их проектов) финансирования из частных источников и осуществления экспорта производимой ими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стадии расширения и роста также может быть отнесена торговая площадка ММВБ "Рынок инноваций и инвестиций", роль которой заключается в подготовке инновационных компаний к последующему выходу на публичный биржевой рынок, а также содействие в осуществлении институтами развития "выходов" из профинансированных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цель ММВБ в реализации Соглашения - обеспечение условий для привлечения капитала растущими инновационными компаниями и обеспечение у таких компаний опыта выведения и обращения ценных бумаг на фондовом рынке.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увеличения количества инновационных проектов в рамках взаимодействия институтов развития по их непрерывной поддержке и повышению эффективности </w:t>
      </w:r>
      <w:r>
        <w:rPr>
          <w:rFonts w:ascii="Calibri" w:hAnsi="Calibri" w:cs="Calibri"/>
        </w:rPr>
        <w:lastRenderedPageBreak/>
        <w:t>их деятельности особое внимание должно быть уделено увеличению объемов поддержки государством проектов на начальной (посевной) стадии, в том числе с использованием грантовых механизмов. Ключевым государственным институтом развития в этой области будет Фонд содействия, в отношении программ поддержки инновационных проектов которого предполагается увеличение их размеров, а также расширение спектра инструментов оказываемой поддержки, включая обеспечение софинансирования расходов малых предприятий на цели патентования, создания промышленного образца и сертификации, обеспечение поддержкой проектов средних компаний с одновременным увеличением сроков предоставления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эффективной работы деятельность "инновационного лифта" будет опираться на созданную инновационную инфраструктуру - технопарки, бизнес-инкубаторы, центры трансфера технологий, центры коллективного пользования, в том числе инфраструктуру, создаваемую ОАО "РОСНАНО" и субъектами федерации в рамках программ поддержки малого бизнеса. Для обеспечения мониторинга эффективности использования объектов инновационной инфраструктуры будет сформирован федеральный реестр таких объектов, созданных с привлечением средств федерального бюджета.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8" w:name="Par2373"/>
      <w:bookmarkEnd w:id="128"/>
      <w:r>
        <w:rPr>
          <w:rFonts w:ascii="Calibri" w:hAnsi="Calibri" w:cs="Calibri"/>
        </w:rPr>
        <w:t>7. Повышение инновационности государственных закупок</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реализуемые в рамках контрактной системы, позволят осуществлять в средне- и долгосрочной перспективе планирование госзакупок и формировать сигналы рынку в части разработки инновационной продукции, которая будет востребована в рамках перспективного государственного заказа.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распространение реестр инновационной продукции, рекомендованной для использования при осуществлении госзакупок, а также закупок компаний с государственным участием. Эта работа будет увязана с формированием перечней современных инновационных технологий и решений, которые должны/могут быть использованы при разработке закупаемой продукции и услуг, а также перечня технологий и продуктов (устаревших, энергорасточительных, неэкологичных и т.д.), не рекомендованных к использованию для создания продуктов, выполнения услуг при госзакупках.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будет уделено созданию в рамках государственного оборонного заказа стимулов для инновационного поведения оборонной промышленности, сферы разработки оружия и систем вооружений. В этих отраслях Россия имеет значительные достижения мирового уровня, и развитие оборонных разработок будет не только определяющим фактором национальной безопасности, в том числе экономической, но и локомотивом развития многих гражданских отраслей.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29" w:name="Par2380"/>
      <w:bookmarkEnd w:id="129"/>
      <w:r>
        <w:rPr>
          <w:rFonts w:ascii="Calibri" w:hAnsi="Calibri" w:cs="Calibri"/>
        </w:rPr>
        <w:t>8. Поддержка регионов - инновационных лидеров</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число регионов уже активно участвует в процессах глобальной конкуренции за инновационный капитал. Однако, в условиях повышающейся мобильности информации, капитала, эффективных исследователей конкуренция за "локализацию" инноваций на территории региона может быть успешной только при формировании благоприятной институциональной и бизнес-среды, социальной инфраструктуры, комфортных жилищных условий, поэтому социально-экономическая политика субъектов Российской Федерации должна быть нацелена на инновации как на один из ключевых результатов деятельности органов власти региона.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передовых, наиболее инновационно-активных регионов с развитой инновационной инфраструктурой, предприятиям высокотехнологичного бизнеса, научным и образовательным секторами будут выделены, сформированы и реализованы проекты инновационных центров, объединяющих имеющиеся в субъектах Российской Федерации объекты федеральной и региональной образовательной, научной и инновационной инфраструктуры. Концентрация усилий и координация вложений в отдельные компоненты подобных проектов инновационных </w:t>
      </w:r>
      <w:r>
        <w:rPr>
          <w:rFonts w:ascii="Calibri" w:hAnsi="Calibri" w:cs="Calibri"/>
        </w:rPr>
        <w:lastRenderedPageBreak/>
        <w:t xml:space="preserve">центров позволят учитывать успехи регионов в повышении инновационной активности при реализации федеральных мер поддержки образования, науки и инноваций. Наряду с реализацией крупных федеральных проектов, включая Сколково, это позволит сформировать в России сеть мощных центров интенсивного инновационного роста. Первым из таких проектов является создание в Томской области центра образования, исследований и разработок, </w:t>
      </w:r>
      <w:hyperlink r:id="rId178" w:history="1">
        <w:r>
          <w:rPr>
            <w:rFonts w:ascii="Calibri" w:hAnsi="Calibri" w:cs="Calibri"/>
            <w:color w:val="0000FF"/>
          </w:rPr>
          <w:t>концепция</w:t>
        </w:r>
      </w:hyperlink>
      <w:r>
        <w:rPr>
          <w:rFonts w:ascii="Calibri" w:hAnsi="Calibri" w:cs="Calibri"/>
        </w:rPr>
        <w:t xml:space="preserve"> формирования которого была утверждена распоряжением Правительства Российской Федерации N 1756-р от 6 октября 2011 г. Центрами инновационного развития также станут территориальные инновационные кластеры, перечень которых утвержден Правительством Российской Федерации (от 28 августа 2012 г. N ДМ-П8-5060).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обеспечена 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бизнес-инкубаторов, центров коммерциализации технологий, инжиниринговых центров, технологических музеев и др. Регионы - инновационные лидеры будут активно взаимодействовать с уже существующими институтами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переориентация использования средств Инвестиционного фонда Российской Федерации на цели поддержки региональных инфраструктурных проектов, способствующих развитию инновационного сектора экономики в регионах - инновационных лидерах;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ФАИП.</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30" w:name="Par2389"/>
      <w:bookmarkEnd w:id="130"/>
      <w:r>
        <w:rPr>
          <w:rFonts w:ascii="Calibri" w:hAnsi="Calibri" w:cs="Calibri"/>
        </w:rPr>
        <w:t>9. Проведение исследований в целях инновационного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экономики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предполагается проведение прикладных научно-исследовательских работ по направлениям совершенствования стратегического планирования и управления инновационным развитием, а также методов и процедур прогнозирования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связаны с ухудшением качества методологии используемой в рамках инновационного развития, стратегического управления, планирования и прогнозирования социально-экономического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31" w:name="Par2395"/>
      <w:bookmarkEnd w:id="131"/>
      <w:r>
        <w:rPr>
          <w:rFonts w:ascii="Calibri" w:hAnsi="Calibri" w:cs="Calibri"/>
        </w:rPr>
        <w:t>10. Предоставление государственных услуг</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правовой охраны объектов интеллектуальной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совершенствование их процедур и повышение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правовой защиты интересов государства,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при использовании научно-исследовательских,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опытно-конструкторских и технологических работ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военного, специального и двойного назначения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перевода российской экономики на инновационный путь развития и прогнозируемого роста поступления заявок на государственную регистрацию прав на результаты интеллектуальной деятельности будет обеспечено качество их рассмотрения без увеличения сроков.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будут совершенствоваться процедуры подачи заявок в электронном виде, доля таких заявок должна составить не менее 25 процентов от общего объема. Будет повышена эффективность информационно-технологического ресурса Роспатента.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обеспечить доступ всем категориям российских пользователей к </w:t>
      </w:r>
      <w:r>
        <w:rPr>
          <w:rFonts w:ascii="Calibri" w:hAnsi="Calibri" w:cs="Calibri"/>
        </w:rPr>
        <w:lastRenderedPageBreak/>
        <w:t>имеющимся отечественным и зарубежным (бесплатным) патентно-информационным ресурсам, расширить доступ к информационным базам данных Роспатента.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осуществлены новые шаги по интеграции национальной системы законодательства Российской Федерации в области правовой охраны и защиты интеллектуальной собственности в мировой процесс гармонизации соответствующих национальных систем.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дальнейшее развитие двустороннее сотрудничество Российской Федерации со странами-членами СНГ и ЕврАзЭС, а также со Всемирной организацией интеллектуальной собственности, зарубежными патентными ведомствами и их региональными объединениями в области правовой охраны и защиты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расширен доступ российских экспертов к зарубежным поисковым базам данных патентной документации на основе развития договоренностей и совместных проектов с иностранными партнерами.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снижены сроки проведения экспертизы заявок на государственную регистрацию прав на результаты интеллектуальной деятельности при прогнозируемом росте объема их поступления, повышено качество экспертизы и выдаваемых охранных документов, повышена эффективность информационно-технологического ресурса системы Роспатента.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кадрового потенциала в сфере управления интеллектуальными ресурсами будет повышено качество услуг, предоставляемых Федеральным государственным бюджетным образовательным учреждением высшего профессионального образования "Российская государственная академия интеллектуальной собственности", по подготовке специалистов, а также научно-педагогических кадров в сфере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магистратуры "Юриспруденция" рекомендовать образовательным учреждениям высшего профессионального образования реализовывать образовательные программы, связанные с обеспечением оборота результатов интеллектуальной деятельности (в рамках действующего государственного заказа на подготовку специалистов по отраслям экономики инженерно-патентоведческих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соглашений с федеральными органами исполнительной власти и государственными корпорациями, являющимися государственными заказчиками научно-исследовательских, опытно-конструкторских и технологических работ военного, специального и двойного назначения, будет сформирован единый порядок урегулирования с Федеральной службой по интеллектуальной собственности вопросов правовой защиты интересов государства в процессе экономического и гражданско-правового оборота результатов таких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такого порядка необходимо для осуществления в процессе передачи иностранным заказчикам и использования ими результатов научно-исследовательских, опытно-конструкторских и технологических работ военного, специального и двойного назначения контроля со стороны государства за наличием необходимых условий, обеспечивающих возможность эффективной защиты прав Российской Федерации и ее юридических и физических лиц на данные результаты.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указанного порядка будут сформированы отсутствующие в настоящее время единые принципы и правила взаимодействия между Федеральной службой по интеллектуальной собственности, государственными заказчиками и организациями по вопросам учета, правовой охраны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усовершенствована международная правовая база в части, касающейся взаимной охраны прав на результаты интеллектуальной деятельности, используемые и созданные в ходе военно-технического сотрудничества Российской Федерации с иностранными государствами.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порядка обеспечения охраны и защиты прав на результаты интеллектуальной деятельности, используемые и (или) созданные в ходе двустороннего военно-технического сотрудничества Российской Федерации с иностранными государствами, условий использования данных результатов осуществляется в рамках межправительственных соглашений. Подписание таких соглашений с государствами, с которыми осуществляется или планируется осуществлять (развивать) двустороннее военно-техническое сотрудничество, а также создание механизмов </w:t>
      </w:r>
      <w:r>
        <w:rPr>
          <w:rFonts w:ascii="Calibri" w:hAnsi="Calibri" w:cs="Calibri"/>
        </w:rPr>
        <w:lastRenderedPageBreak/>
        <w:t>практической реализации таких соглашений, в том числе путем создания совместных рабочих групп, позволит сформировать условия, необходимые для осуществления в дальнейшем защиты прав Российской Федерации, а также ее юридических и физических лиц на указанные результаты интеллектуальной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проведение мероприятий по введению в эксплуатацию автоматизированной информационной системы учета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и принятие соответствующего нормативного правового акта, устанавливающего порядок взаимодействия между Федеральной службой по интеллектуальной собственности, государственными заказчиками, а также заинтересованными федеральными органами исполнительной власти и организациями в части формирования данного информационного ресурса, его ведения и использования содержащихся в нем сведений, в том числе обмена данными с создаваемой Единой государственной системой учета результатов научно-исследовательских, опытно-конструкторских работ гражданского назначения, выполняемых за счет средств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повысить эффективность деятельности государственных органов власти, органов управления государственными внебюджетными фондами, а также казенных учреждений и иных получателей средств федерального бюджета, бюджетов субъектов Российской Федерации, осуществляющих полномочия по размещению заказов на выполнение научно-исследовательских, опытно-конструкторских и технологических работ военного, специального и двойного назначения за счет бюджетных средств и внебюджетных источников финансирования, по управлению правами на результаты интеллектуальной 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32" w:name="Par2420"/>
      <w:bookmarkEnd w:id="132"/>
      <w:r>
        <w:rPr>
          <w:rFonts w:ascii="Calibri" w:hAnsi="Calibri" w:cs="Calibri"/>
        </w:rPr>
        <w:t>11. Повышение эффективности деятельности институтов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в сфере инноваций</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предполагается осуществление ряда мер, направленных на повышение эффективности функционирования сформированной в настоящее время системы институтов развития в сфере инноваций, позволяющих оказывать содействие в реализации инновационных проектов на всех стадиях инновационного цикла и создавать условия для стимулирования развития инноваций на принципах государственно-частного партнерства. При этом в целях достижения стратегических задач инновационного развития экономики Российской Федерации основные усилия будут направлены на взаимоувязку и синхронизацию целей деятельности институтов развития с целями, обозначенными в Стратегии инновационного развития Российской Федерации на период до 2020 года (далее - Стратегия).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внимание будет сосредоточено на наиболее значимых с точки зрения стимулирования инноваций институтах развития, к которым относятся государственная корпорация "Банк развития и внешнеэкономической деятельности (Внешэкономбанк)", ОАО "РВК", ОАО "РОСНАНО", ОАО "МСП Банк", некоммерческая организация "Фонд развития Центра разработки и коммерциализации новых технологий", федеральное государственное бюджетное учреждение "Фонд содействия развитию малых форм предприятий в научно-технической сфере" и федеральное государственное автономное учреждение "Российский фонд технологического развития", а также технопарки в сфере высоких технологий, созданные в рамках реализации комплексной программы "Создание в Российской Федерации технопарков в сфере высоких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мер по повышению эффективности деятельности институтов развития будет учтено, что каждый институт развития создан для решения конкретных задач в сфере инноваций, оказывает поддержку на определенной стадии инновационного цикла или конкретной отрасли в сфере научных технологий и направлен на поддержку значимых для становления инновационной экономики отраслей, участвуя в реализации инновационных проектов по приоритетным направлениям модернизации российской экономики. Формы такой поддержки зависят от характера деятельности института развития, его основного назначения как инструмента государственной инновационной политики и стадии инновационного цикла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институты развития - новый инструмент государственной инновационной </w:t>
      </w:r>
      <w:r>
        <w:rPr>
          <w:rFonts w:ascii="Calibri" w:hAnsi="Calibri" w:cs="Calibri"/>
        </w:rPr>
        <w:lastRenderedPageBreak/>
        <w:t>политики, практика использования которого только нарабатывается, поэтому в их деятельности имеются "узкие места", которые следует рассматривать, скорее, как направления их дальнейшего развития. В этой связи в дальнейшем будет продолжена работа по оптимизации и совершенствованию практики функционирования институтов развития. Одним из ключевых направлений такого совершенствования станет формирование системы ключевых показателей эффективности деятельности институтов развития в сфере инноваций, по достижению целевых значений которых можно будет судить об уровне эффективности институтов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наиболее эффективного использования бюджетных средств, предоставленных институтам развития, их деятельность должна быть направлена на достижение стратегических целей и задач инновационного развития Российской Федерации, обозначенные в Стратегии. В Стратегии определены долгосрочные ориентиры государственной политики в области инновационной деятельности, в том числе и для отдельных институтов развития как основных субъектов инновационной инфраструктуры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деятельность каждого института развития является специфичной и направлена на решение определенных задач в области инноваций, на определенной стадии инновационного цикла для каждого института развития будет определен контур ключевых показателей эффективности их деятельности, исходя из миссии и целевого стратегического назначения института развития и возложенных задач на него в сфере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предполагается, что повышению эффективности деятельности институтов развития в сфере инноваций будет способствовать учет институтами развития при формировании ключевых показателей эффективности основных целей и задач инновационного развития, определенных Стратегией, а также целевых индикаторов реализации Стратегии.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формирование контура основных ключевых показателей эффективности для каждого института развития должно быть основано на принципах системного подхода, учитывающего внутреннюю среду института развития и внешнюю среду его функционирования. Поэтому сформированный набор ключевых показателей эффективности должен отражать эффективность использования институтом развития бюджетных средств с точки зрения двух направлений: достижение институтом развития возложенных на него стратегических задач в области инноваций на государственном уровне (результаты "на выходе") и эффективность внутренней организации непосредственного самого института развития. Предложенный подход к формированию набора ключевых показателей эффективности для каждого института развития позволит оценивать эффективность их деятельности с точки зрения оптимизации бюджетного финансирования, стратегического планирования и текущего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принципов формирования системы ключевых показателей эффективности деятельности институтов развития также можно отметить следующие: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оценивать не только объемные показатели деятельности институтов развития (например, объем вложенных средств), но и эффективность расходования предоставленных ресурсов и результативность поддержанных проектов, например, переход на следующую стадию инновационного цикла развития вплоть до выхода на самофинансирование и возможность и привлечения негосударственных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показателей эффективности необходимо использовать параметры, отражающие общее развитие сектора инноваций (отрасли рынка), на стимулирование которого направлена деятельность института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уровень достижения основных результатов по отношению к объему полученных бюджетных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показатели эффективности деятельности каждого конкретного института развития в сфере инноваций должны учитывать его место в цепочке создания инновационного продукта (стадии инновационного цикла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оценка эффективности деятельности институтов развития в сфере инноваций будет основана на степени выполнения институтами развития сформированного набора ключевых показателей эффективности, достижение целевых значений которых будет свидетельствовать о выполнении целей и задач Стратегии. При этом, высшими органами управления институтов развития с участием в них представителей интересов государства должны быть определены и утверждены конкретные ключевых показателей эффективности деятельности, </w:t>
      </w:r>
      <w:r>
        <w:rPr>
          <w:rFonts w:ascii="Calibri" w:hAnsi="Calibri" w:cs="Calibri"/>
        </w:rPr>
        <w:lastRenderedPageBreak/>
        <w:t>а также их количественные параметры с декомпозицией по годам на период до 2020 года с учетом имеющихся ресурсов институтов развития, характера их деятельности и возложенных на них задач в рамках Стратегии.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предлагается определить следующие основные цели деятельности институтов развития в сфере инноваций: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ОАО "РВК".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ОАО "РВК", деятельность компании должна быть направлена на обеспечение ускоренного формирования эффективной и конкурентоспособной в глобальном масштабе национальной инновационной системы путем создания саморазвивающейся венчурной отрасли во взаимодействии с другими институтами развития с помощью вовлечения частного венчурного капитала, развития инновационного предпринимательства и технологической бизнес-экспертизы, мобилизуя человеческий потенциал России. С учетом изложенного наиболее точно вклад ОАО "РВК" как основного института развития в области венчурной деятельности в развитие соответствующего сектора инноваций должны отражать показатели, связанные с решением возложенных на ОАО "РВК" следующих стратегических задач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частного венчурного капитала в развитие инновационного предпринимательства (стимулирование венчурных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институциональной и отраслевой венчурной инфраструктуры (формирование венчурной экосистемы).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венчурного рынка Российской Федерации по своим основным показателям (общий объем предложения денег и общий объем венчурных сделок за год) на второе место в Европе.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ОАО "РОСНАНО".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миссией ОАО "РОСНАНО" деятельность компании состоит в содействии реализации государственной политики, направленной на создание отечественной наноиндустрии и вхождение России в число мировых лидеров в области нанотехнологий. На основании изложенного наиболее точно вклад ОАО "РОСНАНО" как базового института развития в сфере наноиндустрии в развитие соответствующего сектора инноваций должны отражать показатели, связанные с решением возложенных на ОАО "РОСНАНО" следующих стратегических задач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коммерциализации проектов в сфере производства и применения нанотехнологической продукции посредством реализации инвестиционных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инфраструктуры наноиндустрии;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реализация образовательных программ в сфере нанотехнологий;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инновационной деятельности в сфере наноиндустрии.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ФГАУ "РФТР".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миссии ФГАУ "РФТР" его деятельность направлена на проведение государственной научно-технической политики в части поддержки корпоративных технологических проектов через финансирование поздних стадий исследований и разработок, он также выступает в роли института финансовой поддержки проектов создания базовых технологий и парка опытно-промышленных установок, предполагаемых к реализации в рамках технологических платформ, инновационных территориальных кластеров, а также межотраслевых комплексных проектов исследований и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миссии ФГАУ "РФТР" наиболее полно его вклад в развитие соответствующей стадии инновационного цикла должны отражать показатели, связанные с решением возложенных на ФГАУ "РФТР" следующих стратегических задач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стимулирования предложения в области технологических разработок и инноваций, прежде всего ориентированного на средний и крупный бизнес;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успешных предприятий, созданных бюджетными (автономными) научными и образовательными учреждениями в целях практического применения результатов интеллектуальной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льготного заемного финансирования инновационного бизнеса с целью развития российской сферы рыночно-ориентированных прикладных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ФГБУ "Фонд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Стратегическое назначение Фонда содействия состоит в его позиционировании как </w:t>
      </w:r>
      <w:r>
        <w:rPr>
          <w:rFonts w:ascii="Calibri" w:hAnsi="Calibri" w:cs="Calibri"/>
        </w:rPr>
        <w:lastRenderedPageBreak/>
        <w:t>базисного элемента в системе координации усилий государства в сфере коммерциализации результатов научной деятельности в сфере малого предпринимательства. Наиболее полно вклад Фонда содействия в достижение задач инновационного развития России должны отражать показатели, связанные с решением возложенных на него следующих стратегических задач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эффективного инновационного предпринимательства на основе малых форм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производственно-технологического потенциала страны по приоритетным направлениям развития науки, технологий и техники для реализации конкурентного преимущества инновационной экономики России на основе поддержки малых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 развитию инфраструктуры поддержки малых форм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финансовой поддержки инновационных проектов малого бизнеса, являющихся основным источником проектов для последующих стадий поддержки осуществляемых иными институтами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Внешэкономбанк.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данного института развития направлена на обеспечение устойчивого инновационного социально-экономического развития Российской Федерации на основе модернизации и повышения конкурентоспособности национальной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цели потребует значительного увеличения объема финансирования инвестиционных проектов, расширения поддержки экспорта высокотехнологичной продукции и реализации программ поддержки МСП, а также внедрения лучшей практики формирования управления проектами.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увеличить участие Внешэкономбанка в решении государственной задачи модернизации национальной экономики, увеличения доли кредитов, связанных с финансированием инновационных проектов, в кредитном портфеле.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инновационных компаний целесообразно подготовить внести изменения в Меморандум о финансовой политике Внешэкономбанка в части дополнения функций Внешэкономбанка по поддержке МСП, предусмотрев возможность осуществления финансовой поддержки в форме участия в инвестиционных фондах, осуществляющих поддержку МСП.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рекомендовать Внешэкономбанку и институтам развития осуществлять выполнение утвержденного плана повышения доступности институтов при координации Внешэкономбанка в рамках 10-стороннего соглашения о взаимодействии институтов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ОАО "МСП 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деятельности ОАО "МСП Банк" заключается в поддержке субъектов малого и среднего предпринимательства (далее - субъекты МСП) в области производственного и инновационного секторов экономики, мероприятий по модернизации производственных мощностей, внедрению энергоэффективных и ресурсосберегающих технологий и иных направлений, обеспечивающих повышение конкурентоспособности экономики Российской Федерации. В этой связи для достижения указанной цели необходимо оценивать эффективность ОАО "МСП Банк" по достижению стратегических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МСП промышленного сектора, осуществляющих модернизацию основных средств и реализацию проектов на ресурсосбережение и повышение энергетической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поддержка субъектов МСП в направлении инновационной деятельности и внедрения инновационной продукции и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кредитования инновационных проектов субъектов МСП в том числе за счет создания механизмов разделения рисков;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МСП.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развития Центра разработки и коммерциализации новых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стратегической задачей Фонда Сколково является формирование на территории Российской Федерации благоприятной среды для воспроизводства и развития инновационных </w:t>
      </w:r>
      <w:r>
        <w:rPr>
          <w:rFonts w:ascii="Calibri" w:hAnsi="Calibri" w:cs="Calibri"/>
        </w:rPr>
        <w:lastRenderedPageBreak/>
        <w:t>процессов.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реализации данной задачи целесообразно оценивать эффективность: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поддержания глобально конкурентоспособных условий и среды для передовых исследований и разработок с последующей коммерциализацией 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нового поколения высококлассных специалистов в приоритетных сферах технологического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коммерциализации и внедрения научно-технических разработок, трансформации передового опыта коммерциализации научно-технических разработок, обеспечение ускоренного внедрения ведущих технологий в реальный сектор экономики, обновление задела для участия в формировании глобальных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целях повышения эффективности деятельности институтов развития необходимо также реализовать следующие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механизма поддержки инновационных проектов начиная с "посевной" стадии и повышение эффективности координации деятельности институтов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конкурентного доступа к ресурсам институтов развития, прозрачности функционирования, открытости для инициаторов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доли частного капитала в проектах;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оптимизация издержек, совершенствование системы оплаты труда и мотивации сотрудников, общее повышение эффективности операционной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 2013 году запуска системы обмена информацией по финансируемым и рассмотренным проектам.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33" w:name="Par2486"/>
      <w:bookmarkEnd w:id="133"/>
      <w:r>
        <w:rPr>
          <w:rFonts w:ascii="Calibri" w:hAnsi="Calibri" w:cs="Calibri"/>
        </w:rPr>
        <w:t>12. Создание университетского комплекса в территориально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обособленном инновационном центре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будет создан университетский комплекс (включая учебно-лабораторный корпус, жилой и спортивный комплексы), который должен стать "ядром" инновационного центра "Иннополис". Вокруг него будут располагаться современные жилые кварталы поселка Иннополис Верхнеуслонского района Республики Татарстан с объектами социальной инфраструктуры и технопарки, прилегающие к территории университетского комплекса особой экономической зоной технико-внедренческого типа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созданного университетского комплекса будет размещена образовательная организация высшего образования с целью подготовки высококвалифицированных кадров мирового уровня для российских организаций отрасли информационных технологий и соответствующих научно-педагогических работников, выполнения перспективных научных исследований и реализации инновационных проектов в области информационных технологий. Указанная образовательная организация будет специализироваться на современных информационных технологиях.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реализуется ОАО "Иннополис" в 2013 - 2015 годах за счет бюджетных инвестиций, предоставленных из федерального бюджета в 2012 году, а также предусмотренных в федеральном бюджете на 2013 год.</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4" w:name="Par2493"/>
      <w:bookmarkEnd w:id="134"/>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налогового, таможенного, тарифного, кредитного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в области налогового, таможенного, тарифного, кредитного регулирования в целях стимулирования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либерализация амортизационной политики в целях стимулирования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налогового (в том числе в части налогообложения нематериальных активов), таможенного, тарифного, кредитного администрирования в целях стимулирования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созданию долгосрочных параметров ужесточения требований к эффективности </w:t>
      </w:r>
      <w:r>
        <w:rPr>
          <w:rFonts w:ascii="Calibri" w:hAnsi="Calibri" w:cs="Calibri"/>
        </w:rPr>
        <w:lastRenderedPageBreak/>
        <w:t>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определению системы соответствующих поощрений и санкций, гармонизации российских стандартов с международными;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необходимых инструментов и механизмов поддержки государственных закупок инновационной продукции и эффективного размещения заказа на НИОКР для государственных нужд в рамках создания федеральной контрактной 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коммерциализации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статуса наукограда и совершенствование порядка и форм предоставления поддержки наукоградам, закрытым административно-территориальным образованиям, а также муниципальным образованиям согласно перечню, утверждаемому Правительством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итогам анализа работы с механизмами государственных программ Российской Федерации будет проведена дополнительная оценка необходимости совершенствования нормативно-правовой базы в сфере содействия инновационному развитию.</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5" w:name="Par2505"/>
      <w:bookmarkEnd w:id="135"/>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предусматривается выполнение подготовительных работ для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наименований мест происхождения товаров, по формированию государственного патентного фонда, ведению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 по проведению экспертизы лицензионных договоров в части вопросов обеспечения правовой защиты интересов государства в отношении результатов интеллектуальной деятельности военного, специального и двойного назначения, инвентаризации прав на результаты научно-технической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6" w:name="Par2510"/>
      <w:bookmarkEnd w:id="136"/>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участие субъектов предусмотрено в части поддержки территориальных инновационных кластеров. Порядок участия и правила предоставления им субсидий будут определены Правительством Российской Федерации после принятия решения о выделении финансовых средств на их поддержку.</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7" w:name="Par2516"/>
      <w:bookmarkEnd w:id="137"/>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Фонд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 государственным участием, разрабатывающие программы инновационного развития, перечень которых утвержден Правительственной комиссии по высоким технологиям и инновациям,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Правительственной комиссии по высоким технологиям и инновациям,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входящие в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года.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8" w:name="Par2535"/>
      <w:bookmarkEnd w:id="138"/>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"Стимулирование инноваций" за счет средств федерального бюджета в 2013 - 2020 годах составляет 82 289 460,50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"Поддержка создания и обеспечение функционирования и развития технологических платформ" включает в себя мероприятия по организационной и финансовой поддержке деятельности технологических платформ. Будут предоставлены субсидии в целях повышения качества разрабатываемых технологическими платформами программ стратегических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запланировано к реализации только при условии выделения дополнительного финансирования. Реализация мероприятия будет способствовать более эффективному расходованию федеральных средств на поддержку исследований и разработок, а также способствовать вовлечению бизнеса в деятельность технологических платформ из-за расширяющихся возможностей по кооперации на доконкурентной стадии.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"Мероприятия по реализации проектов Комиссии при Президенте Российской Федерации по модернизации и технологическому развитию экономики России" включает в себя мероприятия по формированию и поддержке реализации проектов развития конкурентных преимуществ по приоритетным направлениям технологического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достигнуть следующих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экономики и внешнеторгового оборота;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сырьевого экспорта в общем объеме экспорта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спроса на проекты развития конкурентных преимуществ по приоритетным направлениям технологического развития, способным обеспечить создание и развитие конкурентоспособных производств.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институтов и инфраструктур, обеспечивающих запуск и работу "инновационного лифта" включает осуществление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позволит достигнуть следующих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эффективность коммерциализации научных исследований и создания новых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вырастет эффективность государственной поддержки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снизятся издержки предприятий при внедрении результатов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поддержка инновационных проектов на всех стадиях их разработки и реализации, в том числе за счет повышения эффективности передачи от одного института развития к другому;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реализована программа популяризации инновационной деятельности, разработанная инновационными институтами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Основное мероприятие "Проведение исследований в целях инновационного развития экономики" направлено на проведение научно-исследовательских работ, способствующих реализации приоритетных направлений развития Российской Федерации и повышению конкурентоспособности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2013 - 2020 гг. потребуется выделение бюджетных ассигнований в размере не менее 813 343,20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научные заделы, которые позволят обеспечивать эффективное прогнозирование, обоснованно и оперативно реагировать на возникающие вызовы в сфере социально-экономического развития. Обеспечит научное обеспечение реализации мероприятий подпрограммы и государственной программы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НИОКТР военного, специального и двойного назначения" - это комплекс мероприятий в сфере интеллектуальной собственности.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мероприятия в 2013 - 2015 гг. потребуется выделение бюджетных ассигнований в размере не менее 21 526 487,20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благоприятную среду для инновационного развития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основного мероприятия "Создание университетского комплекса в территориально обособленном инновационном центре "Иннополис" в 2013 году потребуется выделение бюджетных ассигнований в размере 3 000 000,0 тыс. рублей на предоставление бюджетных инвестиций ОАО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позволит создать инновационную инфраструктуру для осуществления образовательной деятельности, выполнения перспективных исследований и реализации инновационных проектов в территориально обособленном инновационном центре "Иннополис".</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39" w:name="Par2562"/>
      <w:bookmarkEnd w:id="139"/>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ответственность отдельных органов государственной власти в работе по содействию инновационному развитию и слабая координация федеральных органов исполнительной власти и институтов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кризисные явления в экономике.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недостаточной ответственности отдельных органов государственной власти в работе по содействию инновационному развитию будет минимизироваться как за счет использования существующих механизмов, обеспечивающих служебную дисциплину в работе в указанной сфере, так и их совершенствования.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механизмам, направленным на обеспечение должного уровня работы федеральных органов государственной власти в работе по содействию инновационному развитию, относится предложенная в стратегических документах в сфере инновационного развития система мониторинга, предусматривающая, в том числе подготовку ежегодного доклада о ходе реализации Стратегии инновационного развития Российской Федерации до 2020 года, доклада о ходе реализации Комплексной программы развития биотехнологий в Российской Федерации на период до 2020 года, доклада о ходе реализации Концепции создания в Томской области центра образования, исследований и разработок, учет предложений технологических платформ в государственных программах Российской Федерации и деятельности органов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кризисных явлений в экономике и, как следствие, ограничение финансовых средств, для организации работы в рассматриваемой сфере могут быть частично минимизированы за счет повышения эффективности деятельности участников подпрограммы, но в результате реализация большинства мероприятий будет затруднена, а достижение целевых показателей произойдет </w:t>
      </w:r>
      <w:r>
        <w:rPr>
          <w:rFonts w:ascii="Calibri" w:hAnsi="Calibri" w:cs="Calibri"/>
        </w:rPr>
        <w:lastRenderedPageBreak/>
        <w:t>после предусмотренных сроков.</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40" w:name="Par2572"/>
      <w:bookmarkEnd w:id="140"/>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функционирования естественных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регулируемых организаций и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41" w:name="Par2577"/>
      <w:bookmarkEnd w:id="141"/>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"Повышение эффективности функционирования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естественных монополий и иных регулируемых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стимулирующего регулирования" государственной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и инновационная экономика"</w:t>
      </w:r>
    </w:p>
    <w:p w:rsidR="008C77ED" w:rsidRDefault="008C77ED">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30"/>
        <w:gridCol w:w="266"/>
        <w:gridCol w:w="6443"/>
      </w:tblGrid>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тарифам</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естественных монополий.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 включая защиту уязвимых категорий потребителей и повышение роли квалифицированных потребителей.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регулирования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 в естественно-монопольных сферах и в организациях, осуществляющих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контроля регулируемых цен и тарифов.</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ФСТ России, отмененных вступившими в законную силу решениями суда,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решений ФСТ России по итогам рассмотрения разногласий и досудебного рассмотрения споров, отмененных вступившими в </w:t>
            </w:r>
            <w:r>
              <w:rPr>
                <w:rFonts w:ascii="Calibri" w:hAnsi="Calibri" w:cs="Calibri"/>
              </w:rPr>
              <w:lastRenderedPageBreak/>
              <w:t>законную силу решениями суда,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выполнения утвержденного плана проведения плановых проверок ФСТ России,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постановлений по делам об административных правонарушениях, отмененных вступившими в законную силу решениями суда,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ведомственных правовых актов ФСТ России от общего количества отправленных на регистрацию,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ФСТ России организаций инфраструктурного сектора к уровню 2013 года (100 процентов) (в сопоставимых ценах),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срока присоединения к энергосети, предусматривающего введение обязанности органов исполнительной власти субъектов Российской Федерации в области государственного регулирования тарифов утверждать тарифы на технологическое присоединение по всем категориям потребителей на весь период регулирования по каждому уровню напряжения с учетом категорийности, дней.</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реализуется в один этап</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5 894 287,70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- 721 501,40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- 696 091,80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- 699 486,80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- 713 146,20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- 733 932,40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- 755 281,40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- 776 808,50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- 798 039,20 тыс. рублей</w:t>
            </w:r>
          </w:p>
        </w:tc>
      </w:tr>
      <w:tr w:rsidR="00C65754">
        <w:tblPrEx>
          <w:tblCellMar>
            <w:top w:w="0" w:type="dxa"/>
            <w:bottom w:w="0" w:type="dxa"/>
          </w:tblCellMar>
        </w:tblPrEx>
        <w:trPr>
          <w:tblCellSpacing w:w="5" w:type="nil"/>
        </w:trPr>
        <w:tc>
          <w:tcPr>
            <w:tcW w:w="2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6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эффективности функционирования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количества проектов государственно-частного партнерства и объемов инвестиций в естественно монопольных сферах и в сферах деятельности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законодательства в сфере государственного регулирования.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Сохранение доли устраненных нарушений в общем числе </w:t>
            </w:r>
            <w:r>
              <w:rPr>
                <w:rFonts w:ascii="Calibri" w:hAnsi="Calibri" w:cs="Calibri"/>
              </w:rPr>
              <w:lastRenderedPageBreak/>
              <w:t>выявленных нарушений в сфере государственного регулирования.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Предсказуемое тарифное регулирование,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42" w:name="Par2643"/>
      <w:bookmarkEnd w:id="142"/>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инфраструктурных отраслей предъявляют новые требования к системе государственного регулирования, включая ценовое и тарифное регулирование субъектов естественных монополий и организаций, осуществляющих регулируемые виды деятельности,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экономические и социальные аспекты и последствия;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сочетать задачи текущего функционирования и перспективного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цели повышения конкурентоспособности российской экономики в условиях роста и с учетом мировых экономических трендов и конъюнктуры рынков;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справедливый доступ потребителей к максимально качественным товарам и услугам.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регулирования субъектов естественных монополий и организаций, осуществляющих регулируемые виды деятельности, за последние годы проводится по трем главным взаимосвязанным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в сфере естественных монополий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ситуация в сфере естественных монополий характеризуется недостаточной операционной и инвестиционной эффективностью. 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текущие издержки и капитальные вложения являются причиной необоснованного отвлечения средств из других (более эффективных) секторов экономики. При сохранении текущих тенденций тарифы естественных монополий могут стать существенным ограничением экономического развития, в том числе за счет снижения инвестиционной привлекательности экономики Российской Федерации. Дальнейший контроль за издержками и расходами регулируемых субъектов будет реализовываться с применением комплексного стимулирующего долгосрочного регулирования, в том числе предусмотренного </w:t>
      </w:r>
      <w:hyperlink r:id="rId179" w:history="1">
        <w:r>
          <w:rPr>
            <w:rFonts w:ascii="Calibri" w:hAnsi="Calibri" w:cs="Calibri"/>
            <w:color w:val="0000FF"/>
          </w:rPr>
          <w:t>пунктом 4</w:t>
        </w:r>
      </w:hyperlink>
      <w:r>
        <w:rPr>
          <w:rFonts w:ascii="Calibri" w:hAnsi="Calibri" w:cs="Calibri"/>
        </w:rPr>
        <w:t xml:space="preserve"> плана мероприятий по реализации системных мер по развитию конкуренции в Российской Федерации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принципов долгосрочного регулирования и параметров качества станет неотъемлемой частью регулирования субъектов естественных монополий и организаций, осуществляющих регулируемые виды деятельности. Для каждого субъекта регулирования будет установлена причинно-следственная связь между качеством, инвестициями и регулируемыми ценами (тарифами). Цены (тарифы) на регулируемые услуги и товары будут отражать,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и реализуемые инвестиционные программы регулируемых субъектов, </w:t>
      </w:r>
      <w:r>
        <w:rPr>
          <w:rFonts w:ascii="Calibri" w:hAnsi="Calibri" w:cs="Calibri"/>
        </w:rPr>
        <w:lastRenderedPageBreak/>
        <w:t>синхронизованные со схемами ресурсоснабжения, программами комплексного развития и программами развития сопряженных отраслей;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экономические, технические и экологические параметры надежности и качества;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повышения энергосбережения и энергетической эффективности;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долгосрочность параметров регулирования на срок от 3 до 5 лет и содержать правила уточнения цен (тарифов) в связи с изменением неподконтрольных субъекту регулирования затрат или общих условий функционирования рынков;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компенсационных механизмов из бюджетов соответствующих уровней для уязвимых категорий потребителей или субъектов регулирования в случае установления тарифов, отличных от установленных или согласованных органом регулирования в рамках концессионных соглашений.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Естественными монополиями в области газоснабжения являются организации, осуществляющие следующие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магистральным трубопроводам,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по газораспределительным сетям.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большую часть естественно-монопольных видов деятельности в области газоснабжения осуществляется ОАО "Газпром" и его дочерними и зависимыми обществами.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важнейшей проблемой деятельности ОАО "Газпром" является отсутствие внешнего контроля за его затратами, что может послужить причиной увеличения затрат на осуществление регулируемых видов деятельности и условий изменения предоставления доступа к естественно-монопольным услугам для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Устаревшая коммунальная инфраструктура большинства городов не позволяет обеспечивать выполнение современных экологических требований и требований к качеству поставляемых потребителям коммунальных ресурсов. Каждая пятая проба питьевой воды из разводящих водопроводных сетей не соответствует санитарным нормам по санитарно-химическим, а каждая десятая - по микробиологическим показателям. До 40 процентов водопроводов с забором воды из поверхностных водных источников, обеспечивающих 68 процентов потребителей в городах и поселках городского типа, не имеют необходимого комплекса очистных сооружений для обеззараживания и очистки воды. По многим водозаборам не соблюдаются режимы зон санитарной охраны (55 процентов населения страны пьет водопроводную воду, не соответствующую экологическим стандартам). Ежегодно сбрасывается в природные водные объекты 55 млрд. куб. м сточных вод, из которых почти 20 млрд. куб. м являются загрязненными сверх установленных нормативов.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накопленного износа растет количество аварий в системах тепло-, электро- и водоснабжения, увеличиваются сроки их ликвидации и стоимость ремонта.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коммунальных ресурсов, которые оплачивают потребители, составляют: по воде около 30 процентов, по электроэнергии - 15 процентов, по теплу - до 40 процентов. Расход энергетических ресурсов в российских коммунальных предприятиях на 25 - 30 процентов, а иногда и до 50 процентов выше, чем в европейских.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 который в значительном количестве регионов опережает темп роста доходов населения. Продолжающийся рост межрегиональной дифференциации стоимости коммунальных услуг усиливает тенденции оттока населения из многих регионов, в первую очередь, севера и востока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становится резкий рост стоимости коммунальных услуг для граждан, проживающих в домах с высоким уровнем износа. Эта проблема все более обостряется по мере приведения нормативов потребления коммунальных ресурсов в соответствие с действующим законодательством и перехода к расчетам за потребляемые ресурсы на основе данных приборов учета. Эти факторы, а также отсутствие эффективной системы адресной государственной поддержки малоимущих слоев населения приводит к росту социальной напряженности и недоверия граждан к социально-ориентированной политике государства.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w:t>
      </w:r>
      <w:r>
        <w:rPr>
          <w:rFonts w:ascii="Calibri" w:hAnsi="Calibri" w:cs="Calibri"/>
        </w:rPr>
        <w:lastRenderedPageBreak/>
        <w:t>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нормативной правовой базы,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 также в части поддержки инвестиционных механизмов действующим жилищным законодательством;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прозрачность жилищного и коммунального сектора для финансово-кредитных организаций и частных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попытки решать проблему за счет увеличения бюджетного финансирования (в 2008 году доля бюджетных инвестиций в коммунальную инфраструктуру увеличилась в 80 процентов регионов) позволяют лишь в незначительной степени замещать отсутствующие инвестиционные и кредитные ресурсы, что никак не может исправить складывающуюся ситуацию.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бюджетные инвестиции, направляемые в коммунальный сектор, оказываются раздробленными между различными федеральными, региональными и местными программами и зачастую используются бессистемно, без понимания их влияния эффективность систем коммунальной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решение указанных задач и привлечение в коммунальный комплекс частных инвестиций направлен Федеральный закон о долгосрочном тарифном регулировании в сфере электроснабжения, теплоснабжения, газоснабжения, водоснабжения и водоотведения (Федеральный </w:t>
      </w:r>
      <w:hyperlink r:id="rId180"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которым предполагается дальнейшее развитие институтов долгосрочного регулирования,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тарифов на товары и услуги в сферах теплоснабжения, электроснабжения, водоснабжения и водоотведения, энергетики, (где их установление предусмотрено законодательством Российской Федерации) на основе долгосрочных параметров регулирования, определяемых на срок 3 - 5 лет,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полномочий Правительства Российской Федерации или ФСТ России по определению предельных (минимальных и (или) максимальных) индексов роста цен (тарифов), применяемых при переходе к долгосрочному регулированию;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Правительством Российской Федерации этапов и сроков перехода на долгосрочное тарифное регулирование до 1 января 2016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также предусматривается наделение Правительства Российской Федерации и органов исполнительной власти субъектов Российской Федерации полномочиями по установлению порядка возмещения за счет средств бюджета Российской Федерации, средств бюджета субъекта Российской Федерации (местного бюджета - в случае передачи полномочий по регулированию тарифов на уровень местного самоуправления) недополученных доходов, возникших у регулируемых организаций в связи с принятием решений об изменении установленных тарифов и (или) параметров долгосрочного регулирования и (или) необходимой валовой выручки, а также установлением тарифов на основе долгосрочных параметров, отличных от установленных или согласованных органом регулирования в рамках концессионного соглашения.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единого механизма расчета размера возмещения недополученных доходов организаций независимо от уровня бюджета порядок определения размера такого возмещения устанавливается Правительством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предельные уровни тарифов на тепловую энергию для потребителей и тарифов в сфере водоснабжения и водоотведения не подлежат установлению и применению с 1 января 2016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единых подходов к вопросам регулирования надежности и качества регулируемых услуг данный механизм внедрен в сферах теплоснабжения и газоснабжения. Также </w:t>
      </w:r>
      <w:r>
        <w:rPr>
          <w:rFonts w:ascii="Calibri" w:hAnsi="Calibri" w:cs="Calibri"/>
        </w:rPr>
        <w:lastRenderedPageBreak/>
        <w:t>расширена сфера применения показателей качества и надежности регулируемых услуг в сфере электроснабжения за счет закрепления нормы об установлении таких показателей для целей их применения при формировании инвестиционных программ электросетевых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инвестиционного планирования законом определен порядок расчета объема финансовых средств, необходимых для реализации инвестиционных программ субъектов электроэнергетики и теплоэнергетики. Указанный объем подлежит определению с применением укрупненных расценок капитального строительства типовых технологических решений для объектов электроэнергетики (укрупненных сметных нормативов для объектов капитального строительства непроизводственного назначения и инженерной инфраструктуры в сфере теплоснабжения), утверждаемых уполномоченными федеральными органами исполнительной власти. Изменения, вносимые в Федеральный </w:t>
      </w:r>
      <w:hyperlink r:id="rId181" w:history="1">
        <w:r>
          <w:rPr>
            <w:rFonts w:ascii="Calibri" w:hAnsi="Calibri" w:cs="Calibri"/>
            <w:color w:val="0000FF"/>
          </w:rPr>
          <w:t>закон</w:t>
        </w:r>
      </w:hyperlink>
      <w:r>
        <w:rPr>
          <w:rFonts w:ascii="Calibri" w:hAnsi="Calibri" w:cs="Calibri"/>
        </w:rPr>
        <w:t xml:space="preserve"> "О теплоснабжении", направлены на синхронизацию указанного закона с нормами Федерального </w:t>
      </w:r>
      <w:hyperlink r:id="rId182" w:history="1">
        <w:r>
          <w:rPr>
            <w:rFonts w:ascii="Calibri" w:hAnsi="Calibri" w:cs="Calibri"/>
            <w:color w:val="0000FF"/>
          </w:rPr>
          <w:t>закона</w:t>
        </w:r>
      </w:hyperlink>
      <w:r>
        <w:rPr>
          <w:rFonts w:ascii="Calibri" w:hAnsi="Calibri" w:cs="Calibri"/>
        </w:rPr>
        <w:t xml:space="preserve"> "Об электроэнергетике" в части распределения полномочий по утверждению инвестиционных программ регулируемых организаций, осуществляющих деятельность по производству электрической и тепловой энергии в режиме комбинированной выработки электрической и тепловой энергии.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в законодательные акты Российской Федерации позволят создать правовые основы для улучшения инвестиционного климата в сфере жилищно-коммунального хозяйства и энергетики, в том числе за счет обеспечения перехода к долгосрочному тарифному регулированию, введения финансовой ответственности органов власти за пересмотр условий тарифного регулирования, обеспечения прозрачности инвестиционного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года на территории Российской Федерации функционирует оптовый рынок электрической энергии (мощности). На оптовом рынке электрической энергии (мощности) осуществляется поэтапное расширение доли электрической энергии (мощности) реализуемой по свободным (нерегулируемым) ценам. С 2011 года доля свободного рынка составляет 100 процентов (за исключением объемов для поставки населению и объема поставки в неценовых зонах).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неценовых зон (Калининградская, Архангельская область, Республика Коми и Дальневосточный федеральный округ) действует государственное регулирование тарифов и их либерализация не предполагается.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около 52 процентов выручки электроэнергетики - это прямое государственное регулирование тарифов и 48 процентов - нерегулируемые цены на электрическую энергию и мощность, формируемые на оптовом рынке электрической энергии.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естественно-монопольными сферами в электроэнергетике остаются услуги по передаче электрической энергии и услуги по оперативно-диспетчерскому управлению.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электрическую энергию для потребителей с 2000 года выросла более чем в 3 раза (в ценах 2000 года). Сегодня в Российской Федерации в среднем цена электрической энергии ниже, чем во многих странах мира. При этом производительность труда в генерации в 4 раза ниже, чем в США и Канаде. Производительность труда в сетях в 10 раз ниже, чем в США, Канаде и Германии. Эффективность электростанций ниже, чем в Японии, США, Евросоюзе и Китае. Потери в электрических сетях выше почти в 2 раза, чем в Японии, США и Китае.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наблюдаются незначительные тенденции по улучшению показателей эффективности электроэнергетики, но темпы этого улучшения незначительны. При сохранении текущей неэффективности цена на электрическую энергию к 2015 году достигнет уровня, при котором строительство собственной генерации становится для 40 процентов потребителей выгоднее покупки электрической энергии из сети.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Проводимая Правительством Российской Федерации тарифная политика направлена на ограничение негативного воздействия роста цен (тарифов) субъектов естественных монополий и организаций, осуществляющих регулируемые виды деятельности, на отрасли экономики и уровень жизни населения, а также на развитие инфраструктурного сектора.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динамики предельных цен (тарифов) субъектов естественных монополий на среднесрочную перспективу определены Правительством Российской Федерации в прогнозе социально-экономического развития Российской Федерации на 2013 год и плановый период 2014 и 2015 годов и ориентированы на сдерживание инфляции, а также на продолжение посткризисного восстановления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действующим законодательством с 1 января 2011 г. продажа объема электрической энергии (мощности) по свободным (нерегулируемым) ценам доведена до 100 процентов электрической энергии и мощности всем категориям потребителей электрической энергии, за исключением объема электрической энергии (мощности), поставляемого в неценовых зонах и потребляемого населением и приравненным к нему категориям и оказания населению коммунальных услуг в части электроснабжения.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либерализованном секторе энергетики, к которому относится генерация, рост свободных цен определяется ростом цен на топливо (газ, уголь и мазут), вводом новых мощностей электростанций, спросом и предложением на электроэнергию, рыночными механизмами.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сферой, в которой с 2011 года полностью сохраняется государственное регулирование цен (тарифов), является передача электрической энергии.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решений, принятых Правительством Российской Федерации, в 2012 году предусмотрено сохранение тарифов на электрическую энергию, поставляемую населению и приравненным к нему категориям потребителей, на уровне не выше действующих тарифов в 2011 году с последующей индексацией тарифов на электрическую энергию на 106 процентов с 1 июля 2012 г. к уровню I полугодия 2012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отдельных субъектах Российской Федерации рост котловых тарифов на услуги по передаче электрической энергии может превышать среднероссийский уровень с учетом необходимости реализации значительных инвестиционных программ (особенно, принимая во внимание меры по сокращению платы за технологическое присоединение). По отдельным уровням напряжения рост тарифов на услуги по передаче электрической энергии также может превысить рост средних тарифов в связи с изменением модели функционирования розничных рынков электроэнергии и прекращения в соответствии с действующим законодательством с 1 января 2014 г. действия договоров "последней мили".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возврат инвестиций учитывается в тарифном регулировании исключительно после ввода в эксплуатацию построенных/реконструируемых объектов. Начиная с 2013 года, предусматривается применение укрупненных нормативных расценок на основные виды инвестиционных затрат, не допускающих возможность перекладывания завышенных затрат в тарифы. Также должны применяться методы технологического аудита инвестиционных программ, позволяющие оптимизировать перечень мероприятий и ориентировать их на удовлетворение потребностей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контроль осуществляется в отношении хозяйствующих субъектов, выполняющих (оказывающих) работы (услуги) в сфере железнодорожных перевозок, включенных в Реестр субъектов естественных монополий. В настоящее время в Реестр субъектов естественных монополий, в отношении которых осуществляется государственное тарифное регулирование на федеральном уровне, включены ОАО "РЖД", ОАО "ФПК", ОАО АК "Железные дороги Якутии" и 21 компания перевозчиков, осуществляющих деятельность в сфере железнодорожных перевозок пассажиров в пригородном сообщении в условиях естественной монополии, регулирование которых осуществляется субъектами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Перечень</w:t>
        </w:r>
      </w:hyperlink>
      <w:r>
        <w:rPr>
          <w:rFonts w:ascii="Calibri" w:hAnsi="Calibri" w:cs="Calibri"/>
        </w:rPr>
        <w:t xml:space="preserve"> работ (услуг) субъектов естественных монополий в сфере железнодорожных перевозок, в отношении которых осуществляется государственное регулирование и контроль ФСТ России, утвержден постановлением Правительства Российской Федерации от 5 августа 2009 г.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Основная доля естественно-монопольных видов деятельности приходится на ОАО "РЖД" как владельца инфраструктуры для всех видов перевозок и перевозчика грузов.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деятельности ОАО "РЖД" в настоящее время является большая и постоянно увеличивающаяся доля расходов компании на содержание и эксплуатацию инфраструктуры железнодорожного транспорта. Основные фонды ОАО "РЖД" составляют более 3,8 трлн. рублей или более 4,2 процента основных фондов Российской Федерации. В тарифах на перевозку грузов доля инфраструктурной составляющей превышает 55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Высокая степень изношенности инфраструктуры железнодорожного транспорта требует крупных инвестиций со стороны компании и государства на ее обновление. Инфраструктурные ограничения составляет около 5 тыс. км. Это приводит, в том числе к ограничению темпов роста </w:t>
      </w:r>
      <w:r>
        <w:rPr>
          <w:rFonts w:ascii="Calibri" w:hAnsi="Calibri" w:cs="Calibri"/>
        </w:rPr>
        <w:lastRenderedPageBreak/>
        <w:t>основных грузообразующих отраслей экономики, снижению конкурентоспособности железнодорожного транспорта во внутреннем сообщении по сравнению с другими видами транспорта, увеличению конкурентных угроз в международном масштабе.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особо важное значение приобретает разработка перспективной модели долгосрочного взаимодействия государства и владельца инфраструктуры железнодорожного транспорта общего пользования с определением форм и условий такого взаимодействия, которая предусматривает переход на тарифообразование с использованием метода RAB и разработку сетевого контракта с определением форм и условий такого взаимодействия, включая технические, технологические и другие обязательные требования к субъектам естественных монополий на железнодорожном транспорте через показатели качества и надежности.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ограничение средств из федерального бюджета на регулируемые пассажирские перевозки предполагается также реализация модели регуляторного контракта в сфере пассажирских перевозок, которая позволит оптимизировать взаимодействие с бюджетом.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рамках данной модели взаимодействия, приоритетов в развитии отдельных отраслей промышленности и приоритетов в развитии альтернативных видов транспорта предполагается реализация мероприятий по модернизации существующей инфраструктуры и строительству новых железнодорожных линий, основными источниками финансирования которых будут являться собственные средства ОАО "РЖД" и средства федерального бюджета. 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транспорта и предусматривать закрепление взаимных обязательств ОАО "РЖД" и государства по обеспечению целевого состояния инфраструктурного комплекса.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 также и степень изношенности парка подвижного состава ОАО "РЖД". Средний износ тягового подвижного состава достигает 70 процентов, до 2015 года компании необходимо обновить более 5,5 тыс. локомотивов, из них около 3,5 тысяч - закупка новых локомотивов.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на рынке перевозки пассажиров во многом определяется недостатками нормативно-правового регулирования данного вида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воздушном транспорте государственное ценовое регулирование в соответствии с законодательством Российской Федерации о естественных монополиях осуществляется в отношении услуг в аэропортах, перечень которых определен </w:t>
      </w:r>
      <w:hyperlink r:id="rId1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185" w:history="1">
        <w:r>
          <w:rPr>
            <w:rFonts w:ascii="Calibri" w:hAnsi="Calibri" w:cs="Calibri"/>
            <w:color w:val="0000FF"/>
          </w:rPr>
          <w:t>статьей 64</w:t>
        </w:r>
      </w:hyperlink>
      <w:r>
        <w:rPr>
          <w:rFonts w:ascii="Calibri" w:hAnsi="Calibri" w:cs="Calibri"/>
        </w:rPr>
        <w:t xml:space="preserve"> Воздушного кодекса Российской Федерации осуществляется государственное регулирование ставок сборов за аэронавигационное обслуживание воздушных судов пользователей воздушного пространства.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доля расходов авиакомпаний на оказание названных регулируемых услуг в общей доле их расходов на осуществление авиационных перевозок незначительна (5 - 12 процентов аэропортовые услуги, 3 - 5 процентов аэронавигационное обслуживание) государственному ценовому регулированию в данных отраслях воздушного транспорта предается большое значение.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связано с проводимой Правительством Российской Федерации работой по снижению стоимости пассажирских авиационных перевозок на внутренних линиях в целях обеспечения доступности для населения данного вида перевозок. И в этой связи главной задачей государственного регулирования остается недопущение необоснованного роста цен (тарифов, сборов) на услуги субъектов естественных монополий в аэропортах и поставщиков аэронавигационного обслуживания.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этой целью расширяется перечень услуг в аэропортах, подлежащих государственному регулированию. В соответствии с </w:t>
      </w:r>
      <w:hyperlink r:id="rId18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июля 2009 г. N 599 "О порядке обеспечения доступа к услугам субъектов естественных монополий </w:t>
      </w:r>
      <w:r>
        <w:rPr>
          <w:rFonts w:ascii="Calibri" w:hAnsi="Calibri" w:cs="Calibri"/>
        </w:rPr>
        <w:lastRenderedPageBreak/>
        <w:t>в аэропортах" в целях сдерживания роста расходов авиакомпаний на топливообеспечение в аэропортах осуществляется государственное регулирование цен (тарифов, сборов) на услуги по обеспечению заправки воздушных судов авиационным топливом и хранению авиационного топлива.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необходимость развития аэропортов в условиях стабильного роста объемных показателей авиатранспортной работы за последние годы, а также коренного улучшения показателей качества, эффективности и надежности деятельности аэропортов Российской Федерации требуют вложения значительных финансовых средств в обновление объектов инфраструктуры аэропортов. С учетом реализации долгосрочных программ развития аэропортов и поставщиков аэронавигационного обслуживания, в условиях дефицита бюджетного финансирования в качестве предпочтительного метода должно рассматриваться долгосрочное тарифообразование применительно к конкретным хозяйствующим субъектам с целью обеспечения финансовой сбалансированности их деятельности в условиях реализации долгосрочных капитальных вложений в объекты авиационной инфраструктуры. При этом необходимо отметить, что переход на долгосрочное тарифообразование с использованием метода доходности на вложенный капитал должен применяться только к субъектам регулирования, имеющим долгосрочные программы развития, согласованные с отраслевыми федеральными органами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морском транспорте государственное ценовое регулирование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 осуществляется в отношении услуг в морских портах, перечень которых определен </w:t>
      </w:r>
      <w:hyperlink r:id="rId18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Федеральным </w:t>
      </w:r>
      <w:hyperlink r:id="rId189" w:history="1">
        <w:r>
          <w:rPr>
            <w:rFonts w:ascii="Calibri" w:hAnsi="Calibri" w:cs="Calibri"/>
            <w:color w:val="0000FF"/>
          </w:rPr>
          <w:t>законом</w:t>
        </w:r>
      </w:hyperlink>
      <w:r>
        <w:rPr>
          <w:rFonts w:ascii="Calibri" w:hAnsi="Calibri" w:cs="Calibri"/>
        </w:rPr>
        <w:t xml:space="preserve">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услуги по ледокольной и ледовой лоцманской проводке судов в акватории Северного морского пути отнесены к сфере деятельности субъектов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морских портах в значительной степени связано с государственным регулированием услуг по предоставлению пользователям инфраструктуры морских портов. Необходимость обеспечения безопасности мореплавания в морских портах, высокая степень износа гидротехнических сооружений, необходимость модернизации технических средств обеспечения мореплавания приводит к необходимости учета данных факторов при установлении ставок портовых сборов. Вместе с тем данная работа осуществляется с учетом обеспечения доступности морских портов Российской Федерации, конкурентоспособности с портами сопредельных государств, повышения инвестиционной привлекательности портовой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на рынке услуг по погрузке, выгрузке и хранению грузов, предоставлению причалов в морских портах требует применения новых подходов к регулированию субъектов естественных монополий, оказывающих данные услуги. С учетом стратегического значения деятельности морских портов, на современном этапе представляется актуальной работа по изменению государственного регулирования стивидорных компаний, работающих в морских портах, в части неприменения к ним государственного ценового регулирования. Мониторинг принимаемых в этом направлении решений позволит в дальнейшем сделать вывод о целесообразности прекращения государственного регулирования услуг в морских портах по погрузке, выгрузке и хранению грузов, предоставлению причалов.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 новой для законодательства Российской Федерации о естественных монополиях сфере деятельности услуг по ледокольной проводке судов и ледовой лоцманской проводке судов в акватории Северного морского пути должно способствовать развитию Северного морского пути, как важнейшей составляющей транспортного транзитного потенциала Российской Федерации. При этом, учитывая специфику оказания данных услуг в основном ледоколами с атомными энергетическими установками, применяемая в данной сфере модель тарифного регулирования должна обеспечить компенсацию расходов на оказания ими </w:t>
      </w:r>
      <w:r>
        <w:rPr>
          <w:rFonts w:ascii="Calibri" w:hAnsi="Calibri" w:cs="Calibri"/>
        </w:rPr>
        <w:lastRenderedPageBreak/>
        <w:t>регулируемых услуг, что с учетом выделяемых федеральным бюджетом средств на обеспечение ядерной безопасности должно обеспечить компенсацию расходов на содержание атомного ледокольного флота.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внутреннем водном транспорте государственное ценовое регулирование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 осуществляется в отношении услуг в речных портах и услуг по использованию инфраструктуры внутренних водных путей, перечень которых определен </w:t>
      </w:r>
      <w:hyperlink r:id="rId19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водные пути, оставаясь важнейшей естественной транспортной артерией Российской Федерации, постепенно утрачивают свое значение при перевозках грузов и пассажиров в Российской Федерации. Государственное регулирование наряду с изменением системы государственного управления в этой сфере должно быть направлено на повышение привлекательности речного транспорта для осуществления перевозочной деятельности в интересах экономики и населения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речных портов в условиях незначительного объема перевозок на речном транспорте, а также развития межвидовой транспортной конкуренции, особенно в европейской части Российской Федерации, утрачивает свой естественно-монопольный характер. Данное обстоятельство в целях недопущения сдерживания развития добросовестной конкуренции на транспорте требует при осуществлении государственного регулирования речных портов обратить особое внимание на вопросы целесообразности сохранения или прекращения государственного регулирования в данной сфере. Почтовая связь является одним из ключевых элементов национальной инфраструктуры, отличительной чертой которой является значительная роль в обеспечении занятости.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национального оператора почтовой связи, как и развитие экономики страны в целом, недостижимо без комплексной модернизации производственной инфраструктуры. Федеральное государственное унитарное предприятие "Почта России" является уникальным системообразующим предприятием, решающим не только ряд важнейших социальных, но и экономических задач. Крупнейшая в мире сеть филиалов (отделений) почтовой связи обеспечивает основным набором почтовых и финансовых услуг граждан Российской Федерации во всех уголках страны, в том числе в районах Крайнего Севера, где оказание данных услуг влечет существенные убытки.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государственному регулированию подлежат тарифы на услуги общедоступной почтовой связи. Иные услуги, оказываемые оператором почтовой связи, осуществляются на договорной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почтовой связи, несмотря на постоянное увеличение тарифов на услуги по пересылке внутренней письменной корреспонденции выше уровня инфляции, убыточность данных услуг связи не только не снижается, а постоянно увеличивается. При этом сроки пересылки и доставки внутренней письменной корреспонденции не удовлетворяют потребителей данных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связанных с ликвидацией убыточности услуг по пересылке внутренней письменной корреспонденции, невозможно только за счет повышения тарифов. Необходима разработка комплекса мер, предусматривающих: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затрат на оказание регулируемых услуг почтовой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методологии ведения раздельного учета доходов и расходов оператора почтовой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контроль за качеством оказания услуг почтовой связи с привлечением отраслевого министерства;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правового регулирования деятельности в области почтовой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принятия Федерального </w:t>
      </w:r>
      <w:hyperlink r:id="rId192" w:history="1">
        <w:r>
          <w:rPr>
            <w:rFonts w:ascii="Calibri" w:hAnsi="Calibri" w:cs="Calibri"/>
            <w:color w:val="0000FF"/>
          </w:rPr>
          <w:t>закона</w:t>
        </w:r>
      </w:hyperlink>
      <w:r>
        <w:rPr>
          <w:rFonts w:ascii="Calibri" w:hAnsi="Calibri" w:cs="Calibri"/>
        </w:rPr>
        <w:t xml:space="preserve"> "О почтовой связи" рынок услуг почтовой связи претерпел существенные изменения, как по составу участников (значительно увеличилось число негосударственных операторов почтовой связи), так и по оказываемым услугам почтовой связи. В связи с этим появилась необходимость разработки новых принципов и подходов </w:t>
      </w:r>
      <w:r>
        <w:rPr>
          <w:rFonts w:ascii="Calibri" w:hAnsi="Calibri" w:cs="Calibri"/>
        </w:rPr>
        <w:lastRenderedPageBreak/>
        <w:t>государственного регулирования почтовой связи, в том числе в области тарифного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правового регулирования в области почтовой связи разработан проект нового федерального </w:t>
      </w:r>
      <w:hyperlink r:id="rId193" w:history="1">
        <w:r>
          <w:rPr>
            <w:rFonts w:ascii="Calibri" w:hAnsi="Calibri" w:cs="Calibri"/>
            <w:color w:val="0000FF"/>
          </w:rPr>
          <w:t>закона</w:t>
        </w:r>
      </w:hyperlink>
      <w:r>
        <w:rPr>
          <w:rFonts w:ascii="Calibri" w:hAnsi="Calibri" w:cs="Calibri"/>
        </w:rPr>
        <w:t xml:space="preserve"> "О почтовой связи", согласно которому почтовая связь подразделяется на государственную (универсальную) почтовую связь и коммерческую (курьерскую) почтовую связь. Законопроект также определяет основные принципы оказания услуг почтовой связи и предполагает изменение порядка государственного регулирования тарифов на оказание универсальной услуги почтовой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после принятия новой редакции Федерального </w:t>
      </w:r>
      <w:hyperlink r:id="rId194" w:history="1">
        <w:r>
          <w:rPr>
            <w:rFonts w:ascii="Calibri" w:hAnsi="Calibri" w:cs="Calibri"/>
            <w:color w:val="0000FF"/>
          </w:rPr>
          <w:t>закона</w:t>
        </w:r>
      </w:hyperlink>
      <w:r>
        <w:rPr>
          <w:rFonts w:ascii="Calibri" w:hAnsi="Calibri" w:cs="Calibri"/>
        </w:rPr>
        <w:t xml:space="preserve"> "О почтовой связи" потребуется разработка и принятие ряда подзаконных актов, в том числе определяющих перечень видов и категорий почтовых отправлений универсальной услуги почтовой связи, тарифы на пересылку которых будут подлежать государственному регулированию, а также порядок и методологию их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на услуги по пересылке внутренней письменной корреспонденции осуществляется по методу экономически обоснованных затрат на базе данных раздельного учета доходов и расходов, который стимулирует оператора связи наращивать затраты и не заинтересовывает в повышении эффективности и улучшении качества оказания услуг. В этой связи необходимо проработать вопрос о возможности перехода к регулированию тарифов на услуги общедоступной почтовой связи по методу предельного ценообразования (Price-Cap), что позволит избежать необоснованного роста затрат и повысить эффективность деятельности оператора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качественных показателей (соблюдения контрольных сроков доставки, повышения сохранности почтовых отправлений и доступности услуг для потребителей) сеть почтовой связи должна обладать соответствующим уровнем технологического развития. В настоящее время на предприятиях почтовой связи остается высокой доля ручного труда, используется устаревшие оборудование и транспортные средства, недостаточно отработана логистическая цепочка по оказанию услуг почтовой связи, в связи с чем почтовая отрасль дополнительно нуждается в проведении мероприятий по модернизации и сокращению контрольных сроков доставки почтовых отправлений.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государственного регулирования тарифов на услуги фиксированной телефонной связи, то в последние годы оно претерпело существенные изменения и отражает тенденции, происходящие на рынке услуг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услуг общедоступной электросвязи - одна из немногих, где средние темпы роста тарифов в последние годы были существенно ниже темпов инфляции, а по отдельным услугам связи тарифы даже снижались.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государственное регулирование осуществляется посредством установления предельных максимальных тарифов только по обязательным тарифным планам на услуги местной, внутризоновой и междугородной телефонной связи. При этом операторам связи предоставлено право не только снижать тарифы по обязательным тарифным планам по отношению к предельным уровням, но и предлагать помимо обязательных, иные тарифные планы, в том числе, включающие в себя плату за различные виды услуг связи (Интернет, IP-телефония, цифровое телевидение). Это позволяет операторам связи проводить более гибкую тарифную политику с учетом платежеспособного спроса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отдельным территориям субъектов Российской Федерации, в зависимости от сложившейся ситуации на рынке услуг связи, применяются и иные формы государственного регулирования, такие как мониторинг и контроль за тарифами, установленными операторами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услуг общедоступной электросвязи государственному регулированию также подлежат тарифы на услуги связи для целей эфирного телевизионного вещания и радиовещания.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в настоящее время осуществляется поэтапное внедрение и переход на цифровое телерадиовещание, государственное регулирование тарифов на эти услуги осуществляется как в аналоговом, так и в цифровом формате.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рынка услуг сотовой связи и расширение зоны их проникновения, а также появление новых услуг, постепенно замещающих услуги голосовой связи, предъявляют новые требования как к ценовому регулированию, включающему совершенствование системы </w:t>
      </w:r>
      <w:r>
        <w:rPr>
          <w:rFonts w:ascii="Calibri" w:hAnsi="Calibri" w:cs="Calibri"/>
        </w:rPr>
        <w:lastRenderedPageBreak/>
        <w:t>государственного регулирования тарифов для конечного пользователя и цен на услуги присоединения и пропуска трафика, так и к правилам регулирования рынка услуг связи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необходимо разработать предложения по совершенствованию нормативного правового регулирования рынка услуг связи в части лицензирования, правил присоединения сетей электросвязи и их взаимодействия, правил государственного регулирования цен на услуги присоединения и услуги по пропуску трафика и всех правил оказания услуг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поручений Правительства Российской Федерации в части совершенствования механизма регулирования цен на жизненно необходимые и важнейшие лекарственные препараты, а также в целях создания эффективного механизма, позволяющего исключить необоснованный рост цен на лекарства, и не приводящего к сокращению их ассортимента в аптечных учреждениях, ФСТ России совместно с другими заинтересованными ведомствами проводит работу по внесению изменений в действующее законодательство, а именно в </w:t>
      </w:r>
      <w:hyperlink r:id="rId195" w:history="1">
        <w:r>
          <w:rPr>
            <w:rFonts w:ascii="Calibri" w:hAnsi="Calibri" w:cs="Calibri"/>
            <w:color w:val="0000FF"/>
          </w:rPr>
          <w:t>Методику</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утвержденной совместным приказом Минздравсоцразвития России и ФСТ России от 3 ноября 2010 г. N 961н/N 527-а (зарегистрирован в Минюсте России 19 ноября 2010 г. N 18994).</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Правительства Российской Федерации от 13 февраля 2013 г. N 266-р утверждена Стратегия лекарственного обеспечения населения Российской Федерации на период до 2025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указанной стратегии является разработка системы референтного ценообразования на лекарственные препараты в целях внедрения системы лекарственного страхования, которая в 2013 году будет проводится ФСТ России совместно с другими заинтересованными ведомствами в рамках рабочей группы, созданной Минэкономразвития на основании поручения Правительства Российской Федерации от 22 февраля 2012 г. N ВС-П12-1010.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области государственного регулирования цен на лекарственные препараты, включенные в перечень жизненно необходимых и важнейших лекарственных препаратов,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предельных отпускных цен производителей на лекарственные средства, включенных в перечень жизненно необходимых и важнейших лекарственных препаратов;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цен на лекарственные средства, включенные в </w:t>
      </w:r>
      <w:hyperlink r:id="rId19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разрезе производителей, организаций оптовой торговли лекарственными средствами и аптечных учреждений;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предельных оптовых и предельных розничных надбавок к ценам на жизненно необходимых и важнейших лекарственных препаратов, установленных органами исполнительной власти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показателей финансово-хозяйственной деятельности организаций оптовой торговли лекарственными средствами, осуществляющих поставку жизненно необходимых и важнейших лекарственных препаратов от производителя (таможенной границы Российской Федерации) до субъектов Российской Федерации в целях уточнения устанавливаемых органами исполнительной власти субъектов Российской Федерации предельных оптовых надбавок к ценам на жизненно необходимых и важнейших лекарственных препаратов, определяемых в соответствии с утвержденной ФСТ России методикой;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предложений по совершенствованию государственного регулирования цен на лекарственные средства.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по данным мониторинга уровня цен на жизненно необходимых и важнейших лекарственных препаратов, проводимом Росздравнадзором, в процессе государственного регулирования цен на жизненно необходимых и важнейших лекарственных препаратов, ситуация с ценами них остается стабильной.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регистрации цен на жизненно необходимых и важнейших лекарственных препаратов, наряду с введением в субъектах Российской Федерации предельных надбавок к фактической отпускной цене производителя, позволило стабилизировать уровень цен на препараты из указанного перечня. Так, в целом по России отмечено незначительное повышение </w:t>
      </w:r>
      <w:r>
        <w:rPr>
          <w:rFonts w:ascii="Calibri" w:hAnsi="Calibri" w:cs="Calibri"/>
        </w:rPr>
        <w:lastRenderedPageBreak/>
        <w:t>розничных цен на жизненно необходимых и важнейших лекарственных препаратов: в декабре 2012 г. относительно января 2012 г. рост составил 0,26 процента (рост уровня потребительских цен с января 2012 г. составил около 6,6 процента).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43" w:name="Par2763"/>
      <w:bookmarkEnd w:id="143"/>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44" w:name="Par2769"/>
      <w:bookmarkEnd w:id="144"/>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Концепцией долгосрочного социально-экономического развития Российской Федерации до 2020 года одним из приоритетных направлений развития является реформирование естественных монополий, направленное на сокращение масштаба монополизации инфраструктур, разделение естественно-монопольных и потенциально конкурентных секторов и обеспечение равноправного и прозрачного доступа всех экономических субъектов к объектам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данной концепцией, предполагается существенное участие частного капитала в развитии и обновлении инфраструктуры естественных монополий, создание конкурентоспособных условий работы бизнеса в инфраструктурных проектах, прежде всего, за счет новой тарифной политики. Важным механизмом, гарантирующим инвесторам и кредиторам возвратность и рыночную доходность вложенных средств, призваны стать долгосрочные тарифы, уровень которых должен быть увязан с качеством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ключевых мер государственной политики, предусмотренной в Энергетической </w:t>
      </w:r>
      <w:hyperlink r:id="rId197" w:history="1">
        <w:r>
          <w:rPr>
            <w:rFonts w:ascii="Calibri" w:hAnsi="Calibri" w:cs="Calibri"/>
            <w:color w:val="0000FF"/>
          </w:rPr>
          <w:t>стратегии</w:t>
        </w:r>
      </w:hyperlink>
      <w:r>
        <w:rPr>
          <w:rFonts w:ascii="Calibri" w:hAnsi="Calibri" w:cs="Calibri"/>
        </w:rPr>
        <w:t xml:space="preserve"> России до 2030 года, утвержденной распоряжением Правительства Российской Федерации от 13 ноября 2009 г. N 1715-р, является 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государственного тарифного регулирования и обеспечение недискриминационного доступа к объектам инфраструктуры железнодорожного транспорта являются приоритетными направлениями реализации </w:t>
      </w:r>
      <w:hyperlink r:id="rId198" w:history="1">
        <w:r>
          <w:rPr>
            <w:rFonts w:ascii="Calibri" w:hAnsi="Calibri" w:cs="Calibri"/>
            <w:color w:val="0000FF"/>
          </w:rPr>
          <w:t>Стратегии</w:t>
        </w:r>
      </w:hyperlink>
      <w:r>
        <w:rPr>
          <w:rFonts w:ascii="Calibri" w:hAnsi="Calibri" w:cs="Calibri"/>
        </w:rP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45" w:name="Par2777"/>
      <w:bookmarkEnd w:id="145"/>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государственной политики сформулированы следующие цели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функционирования естественных монополий, включающее повышение эффективности операционной и инвестиционной деятельности субъектов естественных монополий, устранение существующих барьеров для получения потребителями доступа к услугам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эффективного и стабильного государственного регулирования цен и тарифов, предусматривающее ограничение роста цен (тарифов) субъектов естественных монополий для обеспечения устойчивого социально-экономического развития экономики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защита интересов потребителей товаров (услуг) субъектов естественных монополий и организаций, осуществляющих регулируемые виды деятельности, формирование эффективной системы защиты уязвимых категорий потребителей, а также повышение роли в государственном регулировании квалифицированных потребителей.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показателей подпрограммы приведены в </w:t>
      </w:r>
      <w:hyperlink w:anchor="Par4805" w:history="1">
        <w:r>
          <w:rPr>
            <w:rFonts w:ascii="Calibri" w:hAnsi="Calibri" w:cs="Calibri"/>
            <w:color w:val="0000FF"/>
          </w:rPr>
          <w:t>Приложении 1</w:t>
        </w:r>
      </w:hyperlink>
      <w:r>
        <w:rPr>
          <w:rFonts w:ascii="Calibri" w:hAnsi="Calibri" w:cs="Calibri"/>
        </w:rPr>
        <w:t>. На достижение целевых значений показателей подпрограммы влияют риски и внешние факторы, анализ которых приведен в соответствующем подразделе настоящей подпрограммы. На достижение целей подпрограммы направлены следующие задачи: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качества предоставляемых товаров (услуг) субъектами естественных монополий и организациями,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субъектов естественных монополий и организаций, осуществляющими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государственно-частного партнерства в естественно-монопольных сферах и сферах деятельности в организациях,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46" w:name="Par2792"/>
      <w:bookmarkEnd w:id="146"/>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получение следующих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эффективности функционирования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проектов государственно-частного партнерства и объемов инвестиций в естественно-монопольных сферах и сферах деятельности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предсказуемое тарифное регулирование,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контроля регулируемых цен и тарифов.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и решению задач следующих государственных программ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99" w:history="1">
        <w:r>
          <w:rPr>
            <w:rFonts w:ascii="Calibri" w:hAnsi="Calibri" w:cs="Calibri"/>
            <w:color w:val="0000FF"/>
          </w:rPr>
          <w:t>Обеспечение</w:t>
        </w:r>
      </w:hyperlink>
      <w:r>
        <w:rPr>
          <w:rFonts w:ascii="Calibri" w:hAnsi="Calibri" w:cs="Calibri"/>
        </w:rPr>
        <w:t xml:space="preserve"> доступным и комфортным жильем и коммунальными услугами граждан Российской Федерации" в части обеспечения эффективного государственного регулирования тарифов организаций коммунального комплекса, создания условий для повышения качества услуг в данной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00" w:history="1">
        <w:r>
          <w:rPr>
            <w:rFonts w:ascii="Calibri" w:hAnsi="Calibri" w:cs="Calibri"/>
            <w:color w:val="0000FF"/>
          </w:rPr>
          <w:t>Энергоэффективность</w:t>
        </w:r>
      </w:hyperlink>
      <w:r>
        <w:rPr>
          <w:rFonts w:ascii="Calibri" w:hAnsi="Calibri" w:cs="Calibri"/>
        </w:rPr>
        <w:t xml:space="preserve"> и развитие энергетики" в части создания условий для повышения эффективности деятельности субъектов естественных монополий в сфере ТЭК;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"Информационное </w:t>
      </w:r>
      <w:hyperlink r:id="rId201" w:history="1">
        <w:r>
          <w:rPr>
            <w:rFonts w:ascii="Calibri" w:hAnsi="Calibri" w:cs="Calibri"/>
            <w:color w:val="0000FF"/>
          </w:rPr>
          <w:t>общество</w:t>
        </w:r>
      </w:hyperlink>
      <w:r>
        <w:rPr>
          <w:rFonts w:ascii="Calibri" w:hAnsi="Calibri" w:cs="Calibri"/>
        </w:rPr>
        <w:t xml:space="preserve"> (2011 - 2020 годы)" в части создания условий развития и государственного регулирования тарифов в сфере связи;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202" w:history="1">
        <w:r>
          <w:rPr>
            <w:rFonts w:ascii="Calibri" w:hAnsi="Calibri" w:cs="Calibri"/>
            <w:color w:val="0000FF"/>
          </w:rPr>
          <w:t>Развитие</w:t>
        </w:r>
      </w:hyperlink>
      <w:r>
        <w:rPr>
          <w:rFonts w:ascii="Calibri" w:hAnsi="Calibri" w:cs="Calibri"/>
        </w:rPr>
        <w:t xml:space="preserve"> транспортной системы" в части создания условий для повышения эффективности деятельности субъектов естественных монополий в сфере транспорта.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также является важным условием обеспечения устойчивого развития российской экономики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47" w:name="Par2809"/>
      <w:bookmarkEnd w:id="147"/>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рассчитана на период 2013 - 2020 годов в один этап.</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48" w:name="Par2813"/>
      <w:bookmarkEnd w:id="148"/>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следующие основные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комплексного стимулирующего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субъектов функционирования естественных монополий и иных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поэтапный переход к регулированию на основе долгосрочного периода регулирования: в сфере электроснабжения (в территориально-изолированных системах и территориях на которых не формируется равновесная цена), в сфере теплоснабжения, в сфере водоснабжения и водоотведения, в газовой отрасли.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49" w:name="Par2820"/>
      <w:bookmarkEnd w:id="149"/>
      <w:r>
        <w:rPr>
          <w:rFonts w:ascii="Calibri" w:hAnsi="Calibri" w:cs="Calibri"/>
        </w:rPr>
        <w:t>1. Внедрение системы комплексного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обеспечение стабильного государственного регулирования цен и тарифов, а также государственного контроля регулируемых цен и тарифов.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и нефтяную отрасль, транспорт, общедоступную электросвязь и общедоступную почтовую связь, сферу тепло-, водоснабжения и водоотведения, транспортную безопасность, оборонный комплекс и социально-значимые товары и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50" w:name="Par2829"/>
      <w:bookmarkEnd w:id="150"/>
      <w:r>
        <w:rPr>
          <w:rFonts w:ascii="Calibri" w:hAnsi="Calibri" w:cs="Calibri"/>
        </w:rPr>
        <w:t>2. Повышение эффективности функционирования естественных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организаций, осуществляющих регулируемые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виды деятельности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повышение эффективности функционирования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формирование эффективной нормативно-правовой базы, регулирующей государственного регулирования цен (тарифов) на товары (услуги) субъектов естественных монополий и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основного мероприятия является обеспечение правового регулирования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51" w:name="Par2837"/>
      <w:bookmarkEnd w:id="151"/>
      <w:r>
        <w:rPr>
          <w:rFonts w:ascii="Calibri" w:hAnsi="Calibri" w:cs="Calibri"/>
        </w:rPr>
        <w:t>3. Поэтапный переход к регулированию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долгосрочного периода регулирования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в сфере водоснабжения и водоотведения,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газовой отрасли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поэтапный переход к регулированию на основе долгосрочного периода регулирования в сфере естественных монополий.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Ожидаемым результатом реализации данного основного мероприятия является реализации требований Федерального </w:t>
      </w:r>
      <w:hyperlink r:id="rId203" w:history="1">
        <w:r>
          <w:rPr>
            <w:rFonts w:ascii="Calibri" w:hAnsi="Calibri" w:cs="Calibri"/>
            <w:color w:val="0000FF"/>
          </w:rPr>
          <w:t>закона</w:t>
        </w:r>
      </w:hyperlink>
      <w:r>
        <w:rPr>
          <w:rFonts w:ascii="Calibri" w:hAnsi="Calibri" w:cs="Calibri"/>
        </w:rP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по организации поэтапного перехода с 1 января 2016 г. к регулированию на основе долгосрочных параметров.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2" w:name="Par2845"/>
      <w:bookmarkEnd w:id="152"/>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в рамках подпрограммы направлены на формирование эффективной нормативно-правовой базы, регулирующей цены (тарифы) на товары (услуги) субъектов естественных монополий и иных организаций, осуществляющих регулируемые виды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 правового регулирования в сфере реализации подпрограммы представлен в </w:t>
      </w:r>
      <w:hyperlink w:anchor="Par8403" w:history="1">
        <w:r>
          <w:rPr>
            <w:rFonts w:ascii="Calibri" w:hAnsi="Calibri" w:cs="Calibri"/>
            <w:color w:val="0000FF"/>
          </w:rPr>
          <w:t>Приложении 4</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3" w:name="Par2850"/>
      <w:bookmarkEnd w:id="153"/>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оказание федеральными государственными учреждениями государственных услуг (работ) не предусмотрено.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4" w:name="Par2855"/>
      <w:bookmarkEnd w:id="154"/>
      <w:r>
        <w:rPr>
          <w:rFonts w:ascii="Calibri" w:hAnsi="Calibri" w:cs="Calibri"/>
        </w:rPr>
        <w:t>VI. Характеристика основных мероприятий, реализуемых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в случае их участия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участия субъектов Российской Федерации не предусмотрено.</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5" w:name="Par2861"/>
      <w:bookmarkEnd w:id="155"/>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6" w:name="Par2869"/>
      <w:bookmarkEnd w:id="156"/>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из средств федерального бюджета составляет 5 894 287,70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объем финансирования рассчитан без учета возложения семью федеральными законами и тринадцатью нормативными правовыми актами за период с 2010 по 2012 года на ФСТ России полномочий по исполнению двадцати одной новой дополнительной функции в сфере регулирования цен (тарифов) и контроля за их применением (установлением) в электроэнергетике, теплоснабжении, водоснабжении и водоотведении, на транспорте, а также увеличения объема работ по сорока девяти действующим государственным функциям, для осуществления которых требуется дополнительная штатная численность и соответствующие бюджетные ассигнования на ее содержание, включая расходы на оплату труда с начислениями. </w:t>
      </w:r>
      <w:r>
        <w:rPr>
          <w:rFonts w:ascii="Calibri" w:hAnsi="Calibri" w:cs="Calibri"/>
        </w:rPr>
        <w:lastRenderedPageBreak/>
        <w:t>По вопросу увеличения штатной численности ФСТ России дано поручение Первого заместителя Председателя Правительства Российской Федерации И.И. Шувалова от 13 ноября 2012 г. N ИШ-П9-6770.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бюджетных ассигнований также не в полной мере учитывает исполнение функций ФСТ России по регистрации и экспертной оценке цен в рамках государственного оборонного заказа.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Необходимый объем бюджетных ассигнований может быть скорректирован также на величину, необходимую для реализации полномочий ФСТ России, вытекающих из мероприятий данной подпрограммы. В частности, внедрение системы стимулирующего регулирования предусматривает в соответствии с </w:t>
      </w:r>
      <w:hyperlink r:id="rId204"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2012 г. N 2579-р в перспективе разработку и утверждение стандартов коммерческого качества обслуживания потребителей услуг естественных монополий и ответственности за их соблюдение. Реализация данной нормы акта Правительства Российской Федерации потребует, в том числе организации и проведения работ по оценке удовлетворенности потребителей качеством обслуживания, что в свою очередь требует дополнительного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объем бюджетных ассигнований на реализацию подпрограммы из средств федерального бюджета требует дополнительной проработки и уточнения.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7" w:name="Par2878"/>
      <w:bookmarkEnd w:id="157"/>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Риски, связанные с колебаниями цен на энергоресурсы на мировых рынках. Существенные колебания цен на энергоресурсы могут негативно отразиться на рентабельности деятельности субъектов естественных монополий, негативно сказаться на их инвестиционной привлекательности, замедлить реализацию инвестиционных программ субъектов естественных монополий. Частично данный риск может быть минимизирован за счет реализации мероприятий по повышению качества среднесрочных и краткосрочных прогнозов социально-экономического развития, предусмотренных в рамках </w:t>
      </w:r>
      <w:hyperlink w:anchor="Par3196" w:history="1">
        <w:r>
          <w:rPr>
            <w:rFonts w:ascii="Calibri" w:hAnsi="Calibri" w:cs="Calibri"/>
            <w:color w:val="0000FF"/>
          </w:rPr>
          <w:t>подпрограммы</w:t>
        </w:r>
      </w:hyperlink>
      <w:r>
        <w:rPr>
          <w:rFonts w:ascii="Calibri" w:hAnsi="Calibri" w:cs="Calibri"/>
        </w:rPr>
        <w:t xml:space="preserve"> "Совершенствование системы стратегического управления" настоящей государственной программы, и принятие своевременных мер по корректировке тарифной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Макроэкономические риски. Прежде всего, превышение показателей инфляции по сравнению с уровнями, установленными в одобренном Правительством Российской Федерации прогнозе социально-экономического развития, могут привести к ограничению инвестиционных возможностей субъектов естественных монополий. Минимизация данного риска предусматривается в рамках государственной </w:t>
      </w:r>
      <w:hyperlink r:id="rId205"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связанные с реализацией государственной политики в сопряженных секторах. Эффективность реализации государственных программ в смежных секторах (в частности, государственных программ Российской Федерации "</w:t>
      </w:r>
      <w:hyperlink r:id="rId206" w:history="1">
        <w:r>
          <w:rPr>
            <w:rFonts w:ascii="Calibri" w:hAnsi="Calibri" w:cs="Calibri"/>
            <w:color w:val="0000FF"/>
          </w:rPr>
          <w:t>Развитие</w:t>
        </w:r>
      </w:hyperlink>
      <w:r>
        <w:rPr>
          <w:rFonts w:ascii="Calibri" w:hAnsi="Calibri" w:cs="Calibri"/>
        </w:rPr>
        <w:t xml:space="preserve"> транспортной системы", "</w:t>
      </w:r>
      <w:hyperlink r:id="rId207" w:history="1">
        <w:r>
          <w:rPr>
            <w:rFonts w:ascii="Calibri" w:hAnsi="Calibri" w:cs="Calibri"/>
            <w:color w:val="0000FF"/>
          </w:rPr>
          <w:t>Обеспечение</w:t>
        </w:r>
      </w:hyperlink>
      <w:r>
        <w:rPr>
          <w:rFonts w:ascii="Calibri" w:hAnsi="Calibri" w:cs="Calibri"/>
        </w:rPr>
        <w:t xml:space="preserve"> доступным и комфортным жильем и коммунальными услугами граждан России", "</w:t>
      </w:r>
      <w:hyperlink r:id="rId208" w:history="1">
        <w:r>
          <w:rPr>
            <w:rFonts w:ascii="Calibri" w:hAnsi="Calibri" w:cs="Calibri"/>
            <w:color w:val="0000FF"/>
          </w:rPr>
          <w:t>Энергоэффективность</w:t>
        </w:r>
      </w:hyperlink>
      <w:r>
        <w:rPr>
          <w:rFonts w:ascii="Calibri" w:hAnsi="Calibri" w:cs="Calibri"/>
        </w:rPr>
        <w:t xml:space="preserve"> и развитие энергетики", "</w:t>
      </w:r>
      <w:hyperlink r:id="rId209" w:history="1">
        <w:r>
          <w:rPr>
            <w:rFonts w:ascii="Calibri" w:hAnsi="Calibri" w:cs="Calibri"/>
            <w:color w:val="0000FF"/>
          </w:rPr>
          <w:t>Воспроизводство</w:t>
        </w:r>
      </w:hyperlink>
      <w:r>
        <w:rPr>
          <w:rFonts w:ascii="Calibri" w:hAnsi="Calibri" w:cs="Calibri"/>
        </w:rPr>
        <w:t xml:space="preserve"> и использование природных ресурсов" существенно влияет на реализацию настоящей подпрограммы. Например, отставание в реализации мероприятий по обеспечению энергосбережения и водопотребления может привести к недостижению целевых значений показателя настоящей подпрограммы "доля расходов на товары и услуги субъектов естественных монополий и предприятий коммунального комплекса в ВВП".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 реализации подпрограммы связаны с незаинтересованностью монополии в реализации мер по увеличению прозрачности ее деятельности. Минимизация данных рисков возможна путем реализации мер государственного регулирования, предусмотренных в настоящей подпрограмме.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Техногенные и природные катастрофы также являются фактором риска для реализации подпрограммы. Реализация данного риска может снизить надежность и доступность товаров и услуг субъектов естественных монополий в краткосрочном плане, а также сказаться на </w:t>
      </w:r>
      <w:r>
        <w:rPr>
          <w:rFonts w:ascii="Calibri" w:hAnsi="Calibri" w:cs="Calibri"/>
        </w:rPr>
        <w:lastRenderedPageBreak/>
        <w:t>реализации их инвестиционных планов и программ. Минимизация данного риска в рамках подпрограммы основана на ускорении обновления основных фондов субъектов естественных монополий, что снизит вероятность возникновения аварийных ситуаций в рамках их деятельности.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58" w:name="Par2888"/>
      <w:bookmarkEnd w:id="158"/>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"Кадры для инновационной экономики"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59" w:name="Par2891"/>
      <w:bookmarkEnd w:id="159"/>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"Кадры для инновационной экономики"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C65754" w:rsidRDefault="00C65754">
      <w:pPr>
        <w:widowControl w:val="0"/>
        <w:autoSpaceDE w:val="0"/>
        <w:autoSpaceDN w:val="0"/>
        <w:adjustRightInd w:val="0"/>
        <w:spacing w:after="0" w:line="240" w:lineRule="auto"/>
        <w:jc w:val="center"/>
        <w:rPr>
          <w:rFonts w:ascii="Calibri" w:hAnsi="Calibri" w:cs="Calibri"/>
          <w:lang w:val="en-US"/>
        </w:rPr>
      </w:pPr>
    </w:p>
    <w:p w:rsidR="008C77ED" w:rsidRDefault="008C77ED">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37"/>
        <w:gridCol w:w="252"/>
        <w:gridCol w:w="6450"/>
      </w:tblGrid>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Цель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в сфере управления для модернизации российской экономики.</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управленческих компетенций у работников различных отраслей экономики с использованием современных образовательных технологий.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Приобретение современных управленческих (менеджерских) компетенций в условиях модернизации здравоохранения и образования, необходимых для участия в конкуренции на рынке медицинских и образовательных услуг, с целью обеспечения оптимального использования ресурсов и высокого качества услуг, предоставляемых населению в сфере здравоохранения и образования.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контактов российских специалистов с иностранными предпринимателями для трансфера передовых технологий, привлечения иностранных инвестиций, создания совместных предприятий.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компетенции российского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Обучение управленческих кадров в сфере здравоохранения и образования современным технологиям управления.</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человек.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 человек.</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 (этапы не выделяются)</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4 276 194,30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- 524 589,10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- 533 724,40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- 533 796,70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2016 году - 535 298,40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- 536 044,10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- 536 809,90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- 537 584,30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- 538 347,40 тыс. рублей</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252"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кадрового потенциала субъектов Российской Федерации в сфере управления и инноваций.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знаний и навыков, развитие ценностных ориентаций у управленческих кадров в сфере здравоохранения и образования.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эффективной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Включение управленцев, завершивших обучение, в кадровые резервы всех уровней власти.</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60" w:name="Par2940"/>
      <w:bookmarkEnd w:id="160"/>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"Кадры для инновационной экономики" реализуется в целях модернизации и инновационного пути развития российской экономики и призвана обеспечить качественное улучшение практики управления предприятиями, учреждениями социальной сферы, другими организациями.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является комплексной задачей, включающей в себя: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управленцев,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ими передовых методов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их профессионального кругозора, в том числе за счет международного опыта;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контактов с управленческим сообществом в России и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экспертно-консультационная поддержка в формировании и реализации бизнес-проектов для малого и среднего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предприятий, их техническое перевооружение;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различных форм объединений и сообществ управленцев.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совершенствование практики управления организациями требует комплекса работ по развитию человеческого капитала управленческого корпуса российских предприятий, учреждений социальной сферы и других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"Кадры для инновационной экономики" является продолжением реализации Государственного плана для организаций народного хозяйства Российской Федерации (далее - Государственный план), который реализуется в Российской Федерации с 1997 года и доказал свою эффективность для решения поставленных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основными проблемами в сфере повышения качества управления российскими организациями является отсутствие комплексного подхода к этой задаче. Российские образовательные учреждения дают знания в сфере управления, но не обеспечивают практические навыки применения этих знаний, не формируют компетенции, которые бы позволили управленцам успешно осуществлять свои функции.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зачастую предоставляемые знания являются устаревшими, не применимыми в современных экономических условиях, или переведенными из западных источников без соответствующей локализации с учетом российских реалий. Многочисленные тренинговые компании обеспечивают освоение простейших навыков (умение продавать, умение вести переговоры и прочее), что не может обеспечить формирование управленческих компетенций, являющихся комплексными.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 также обеспечить формирование управленческих компетенций без ознакомления с лучшими мировыми практиками в сфере управления, что требует обеспечения возможности межрегиональных и зарубежных стажировок.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настоящее время массовое повышение качества управления является необходимым условием модернизации экономики.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ситуации с качеством управления российскими организациями, особенно в условиях вступления в ВТО, может привести, во-первых, к низкой конкурентоспособности российских предприятий на мировых рынках и, во-вторых, к необходимости замещать ключевые посты в крупных российских компаниях иностранными специалистами.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в Российской Федерации система бюджетных учреждений была сформирована в иных социально-экономических условиях и до сих пор функционирует в отрыве от современных подходов к развитию государственного управления, принципов оптимальности и достаточности для предоставления государственных и муниципальных услуг населению.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настоящее время субъекты Российской Федерации в полном объеме приступили к реализации Федерального закона "О внесении изменений в законодательство Российской Федерации в связи с совершенствованием правового положения государственных (муниципальных) учреждений", а также Федерального </w:t>
      </w:r>
      <w:hyperlink r:id="rId210" w:history="1">
        <w:r>
          <w:rPr>
            <w:rFonts w:ascii="Calibri" w:hAnsi="Calibri" w:cs="Calibri"/>
            <w:color w:val="0000FF"/>
          </w:rPr>
          <w:t>закона</w:t>
        </w:r>
      </w:hyperlink>
      <w:r>
        <w:rPr>
          <w:rFonts w:ascii="Calibri" w:hAnsi="Calibri" w:cs="Calibri"/>
        </w:rPr>
        <w:t xml:space="preserve"> "Об обязательном медицинском страховании в Российской Федерации" в части региональных программ модернизации здравоохранения субъектов Российской Федерации и модернизации региональных систем общего образования в соответствии с </w:t>
      </w:r>
      <w:hyperlink r:id="rId2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мая 2011 г. N 436 "О порядке предоставления субсидий из федерального бюджета бюджетам субъектов Российской Федерации на модернизацию региональных систем общего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показывает, что в настоящее время сложилась острая нехватка квалифицированных управленцев, что не позволяет обеспечить реализацию модернизационных процессов на должном уровне, а также эффективное освоение ресурсов бюджетов всех уровней Российской Федерации, направляемых на эти цели, для получения высокого качества услуг, предоставляемых населению.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эффективной реализации региональных программ модернизации здравоохранения субъектов Российской Федерации и программ модернизации региональных систем общего образования необходимо подготовить управленческие кадры в сфере здравоохранения и образования, включая руководителей органов управления здравоохранением и образованием субъектов Российской Федерации и муниципальных образований, главных врачей и их заместителей учреждений здравоохранения и директоров и их заместителей учреждений общего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региональные программы модернизации здравоохранения субъектов Российской Федерации и программы модернизации региональных систем общего образования приняты и в 2011 году начата их реализация, необходимо в кратчайшие сроки осуществить подготовку управленческих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61" w:name="Par2966"/>
      <w:bookmarkEnd w:id="161"/>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2" w:name="Par2972"/>
      <w:bookmarkEnd w:id="162"/>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государственной политики в сфере реализации указанной подпрограммы является формирование программ развития социальной сферы и кадрового обеспечения. Данная задача поставлена Президентом Российской Федерации В.В. Путиным Федеральному Собранию Российской Федерации в декабре 2012 года.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3" w:name="Par2977"/>
      <w:bookmarkEnd w:id="163"/>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развитие кадрового потенциала в сфере управления для модернизации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управленческих компетенций у работников различных отраслей экономики с использованием современных образовательных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современных управленческих (менеджерских) компетенций в условиях модернизации здравоохранения и образования, необходимых для участия в конкуренции на рынке медицинских и образовательных услуг, с целью обеспечения оптимального использования ресурсов и высокого качества услуг, предоставляемых населению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контактов российских специалистов с иностранными предпринимателями </w:t>
      </w:r>
      <w:r>
        <w:rPr>
          <w:rFonts w:ascii="Calibri" w:hAnsi="Calibri" w:cs="Calibri"/>
        </w:rPr>
        <w:lastRenderedPageBreak/>
        <w:t>для трансфера передовых технологий, привлечения иностранных инвестиций, создания совместных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компетенции российского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управленческих кадров в сфере здравоохранения и образования современным технологиям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подпрограммы будет осуществляться в рамках реализации пяти основных мероприятий, предусматривающих: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 конкурсной основе и обучение российских специалистов в образовательных организациях по трем типам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подготовку и проведение обменных зарубежных стажировок российских специалистов;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образовательно-консультационных семинаров и конференций по обмену опытом;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передовых образовательных методик, предоставление вузам возможности использования современных образовательных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закупку новых образовательных методик, учебных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достижения целей и решения задач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управленцев, подготовленных в соответствии с Государственным планом по всем типам образовательных программ, человек;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 человек.</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4" w:name="Par2997"/>
      <w:bookmarkEnd w:id="164"/>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подпрограммы является повышение кадрового потенциала субъектов Российской Федерации в сфере управления и инноваций, повышение уровня знаний и навыков, развитие ценностных ориентаций у управленческих кадров в сфере здравоохранения и образования, создание условий для эффективной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включение завершивших обучение управленцев, в кадровые резервы всех уровней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5" w:name="Par3002"/>
      <w:bookmarkEnd w:id="165"/>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- 2013 - 2020 годы. Этапы реализации подпрограммы не предусмотрены.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66" w:name="Par3006"/>
      <w:bookmarkEnd w:id="166"/>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7" w:name="Par3008"/>
      <w:bookmarkEnd w:id="167"/>
      <w:r>
        <w:rPr>
          <w:rFonts w:ascii="Calibri" w:hAnsi="Calibri" w:cs="Calibri"/>
        </w:rPr>
        <w:t>1. Подготовка не менее 5 тысяч управленцев ежегодно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(обучение в форме профессиональной переподготовки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квалификации) в образовательных учреждениях,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поэтапное увеличение количества специалистов, обучающихся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проектно-ориентированным программам, с применением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современных образовательных технологий, основанных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 методах активного обучения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конкурсного отбора специалистов для обучения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соглашений не менее чем с 73 субъектами Российской Федерации о предоставлении субсидии из федерального бюджета бюджету субъекта Российской Федерации на </w:t>
      </w:r>
      <w:r>
        <w:rPr>
          <w:rFonts w:ascii="Calibri" w:hAnsi="Calibri" w:cs="Calibri"/>
        </w:rPr>
        <w:lastRenderedPageBreak/>
        <w:t>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субсидий из федерального бюджета бюджетам субъектов Российской Федерации на софинансирование расходов, связанных с оплатой оказанных не менее 5 тысячам специалистам российскими образовательными учреждениями услуг по обучению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отчетов о расходах бюджета субъекта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отчетов для оценки эффективности использования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8" w:name="Par3023"/>
      <w:bookmarkEnd w:id="168"/>
      <w:r>
        <w:rPr>
          <w:rFonts w:ascii="Calibri" w:hAnsi="Calibri" w:cs="Calibri"/>
        </w:rPr>
        <w:t>2. Организация и проведение зарубежных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российских специалистов в рамках взаимных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обменов с иностранными государствами, целевых проектных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на основе конкурсного отбора проектов,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стажировок иностранных специалистов на российских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внутрироссийских стажировок</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уполномоченными иностранными организациями стран-партнеров (Нидерланды, Норвегия, Германия, Финляндия, Япония, Франция, США) для организации стажировок в рамках взаимных обменов, проведение зарубежных стажировок российских специалистов в рамках взаимных обменов (до 600 человек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авиа и железнодорожных билетов, организация визовой поддержки российских специалистов и медицинского страхования, направляемых на зарубежные стажировки (как в рамках взаимных обменов, так и на целевые проектные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 (до 600 человек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стажировок иностранных специалистов (не более 125 человек ежегодно) в рамках взаимных обменов на российских предприятиях (не менее чем в 5 субъектах Российской Федерации),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иностранных специалистов в гостиницах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иностранных специалистов на предприятиях Российской Федерации, в том числе организация деловых встреч и культурной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иностранным специалистам;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расходы (проведение процедуры отбора иностранных специалистов и экспертиза предложений, оплата раздаточного материала, накладные и почтовые расходы);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целевых проектных стажировок российских специалистов (не менее 120 человек ежегодно), включая инновационные стажировки в США (не более 60 человек ежегодно),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экспертной комиссией отбора лучших бизнес-проектов, имеющих наибольшее значение для развития экономики субъекта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расходов на проживание российских специалистов в гостиницах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стажировка российских специалистов на зарубежных предприятиях, в том числе организация деловых встреч и культурных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суточных российским специалистам;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территории стран стажировок;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организационные расходы (процедуры отбора и экспертизы, раздаточный материал, накладные и почтовые расходы);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постстажировочных семинаров для рассмотрения итогов зарубежных стажировок.</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69" w:name="Par3048"/>
      <w:bookmarkEnd w:id="169"/>
      <w:r>
        <w:rPr>
          <w:rFonts w:ascii="Calibri" w:hAnsi="Calibri" w:cs="Calibri"/>
        </w:rPr>
        <w:t>3. Повышение качества образовательных программ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качества подготовки специалистов</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ежегодного методического обеспечения конкурсного отбора специалистов и разработка типовых заданий (тестов) для оценки уровня профессиональной компетентности специалистов (обновление банка кейсов (минимум 6 кейсов) по всем тематикам программ, разработка тестовых заданий (минимум 6 заданий по 8 тематикам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образовательных модулей на базе современных учебных имитационных моделей (бизнес-симуляторов) на дистанционной платформе и их передача образовательным учреждениям, участвующим в реализации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одного семинара для руководителей образовательных программ по обсуждению методик разработки различного типа образовательных программ, двух семинаров с преподавателями, участвующими в реализации Государственного плана, одного семинара по итогам зарубежных целевых проектных стажировок, одной конференции выпускников Государственного плана с международным участием (не менее чем для 100 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образовательных программ, реализуемых в рамках Государственного плана (самооценка образовательных программ, два этапа внешней экспертизы: заочный и с выездом не менее двух экспертов в образовательное учреждение).</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70" w:name="Par3057"/>
      <w:bookmarkEnd w:id="170"/>
      <w:r>
        <w:rPr>
          <w:rFonts w:ascii="Calibri" w:hAnsi="Calibri" w:cs="Calibri"/>
        </w:rPr>
        <w:t>4. Информационно-технологическое обеспечение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ведение баз данных участников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оценка эффективности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функций автоматизированной информационной системы для обеспечения процессов отбора, обучения, оценки профессиональной компетентности специалистов (подсистемы учета и управления зарубежными стажировками российских специалистов, внутрироссийскими стажировками российских специалистов, российскими стажировками иностранных специалистов, подсистема анкетирования, подсистема анализа полученной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эффективности реализации Государственного плана.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71" w:name="Par3065"/>
      <w:bookmarkEnd w:id="171"/>
      <w:r>
        <w:rPr>
          <w:rFonts w:ascii="Calibri" w:hAnsi="Calibri" w:cs="Calibri"/>
        </w:rPr>
        <w:t>5. Управление и нормативное правовое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нормативных правовых актов Правительства Российской Федерации и нормативных актов Минэкономразвития России, направленных на дальнейшее совершенствование </w:t>
      </w:r>
      <w:hyperlink r:id="rId212" w:history="1">
        <w:r>
          <w:rPr>
            <w:rFonts w:ascii="Calibri" w:hAnsi="Calibri" w:cs="Calibri"/>
            <w:color w:val="0000FF"/>
          </w:rPr>
          <w:t>программы</w:t>
        </w:r>
      </w:hyperlink>
      <w:r>
        <w:rPr>
          <w:rFonts w:ascii="Calibri" w:hAnsi="Calibri" w:cs="Calibri"/>
        </w:rPr>
        <w:t xml:space="preserve"> "Подготовка управленческих кадров в сфере здравоохранения и образования в 2011 - 2014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Комиссии по организации подготовки управленческих кадров для организаций народного хозяйства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72" w:name="Par3073"/>
      <w:bookmarkEnd w:id="172"/>
      <w:r>
        <w:rPr>
          <w:rFonts w:ascii="Calibri" w:hAnsi="Calibri" w:cs="Calibri"/>
        </w:rPr>
        <w:t>6. Подготовка управленческих кадров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и образования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включает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подготовки управленческих кадров в сфере здравоохранения и образования (до 4 тысяч человек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для управленцев в сфере здравоохранения и образования (до 200 человек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213" w:history="1">
        <w:r>
          <w:rPr>
            <w:rFonts w:ascii="Calibri" w:hAnsi="Calibri" w:cs="Calibri"/>
            <w:color w:val="0000FF"/>
          </w:rPr>
          <w:t>пункта 17.1 части 2 статьи 55</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единственным исполнителем по подготовке управленческих кадров в сфере здравоохранения и образования является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(РАНХиГС).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4"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 сентября 2011 г. N 1665-р об утверждении программы "Подготовка управленческих кадров в сфере здравоохранения и образования в 2011 - 2014 годах" (далее - Программа подготовки кадров в сфере здравоохранения и образования) в рамках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 проводится обучение: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(заместителей руководителя) органов управления здравоохранением и образованием субъектов Российской Федерации и муниципальных образований (категория "А") - до 400 человек;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врачей (заместителей главного врача) учреждений здравоохранения, директоров (заместителей директора) учреждений общего образования (категория "Б") - до 3600 человек.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на базе РАНХиГС, а также учреждений высшего профессионального образования - партнеров РАНХиГС ежегодно подготавливаются до 4 тысяч управленцев.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РАНХиГС будут разработаны: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комплексы;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модули, характеризующие проблемные ситуации, представляющие наилучшие практики реализации проектов модернизации здравоохранения и образования субъектов Российской Федерации, муниципальных органов управления здравоохранением и образованием, учреждений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дистанционного обучения и осуществление ее наполнения;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симуляторы по тематикам модернизации региональных систем здравоохранения и образования для использования в рамках реализации Программы подготовки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заинтересованными учреждениями и организациями проведены совещания и семинары по проблемам модернизации здравоохранения и образования для управленческих кадров в сфере образования и здравоохранения, а также по вопросам реализации Программы подготовки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преподавания в рамках реализации Программы подготовки кадров в сфере здравоохранения и образования привлечены высококвалифицированные преподаватели, ведущие эксперты в сфере здравоохранения и образования, а также руководящие сотрудники федеральных органов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запланированных мероприятий в рамках подготовки специалистов в сфере здравоохранения и образования решаются следующие задачи: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повышения квалификации управленческих кадров в сфере здравоохранения и образования с использованием современных образовательных технологий и привлечением ведущих экспертов, в том числе иностранных, а также руководящих работников федеральных органов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соответствующих учебно-методических материалов, включающих современные образовательные технологии и лучший мировой опыт в части управления и модернизации </w:t>
      </w:r>
      <w:r>
        <w:rPr>
          <w:rFonts w:ascii="Calibri" w:hAnsi="Calibri" w:cs="Calibri"/>
        </w:rPr>
        <w:lastRenderedPageBreak/>
        <w:t>здравоохранения и образования, а также построение на их основе образовательного процесса в рамках реализации Программы подготовки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профессорско-преподавательского состава, обеспечивающего образовательный процесс, путем повышения квалификации в соответствии с предлагаемыми современными технологиями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зарубежных стажировок на базе ведущих медицинских и образовательных учреждений для отобранных в установленном порядке управленческих кадров в сфере здравоохранения и образования, направленных субъектами Российской Федерации и органами местного самоуправления на подготовку (обучение в форме повышения квалификации и стажировки за рубежом), чьи проекты были признаны лучшими;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информационной базы участников Программы подготовки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списков участников Программы подготовки кадров в сфере здравоохранения и образования, отобранных в установленном координаторами Программы подготовки кадров в сфере здравоохранения и образования порядке для их рекомендации в кадровые резервы субъектов Российской Федерации, муниципальных образований и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3" w:name="Par3099"/>
      <w:bookmarkEnd w:id="173"/>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"Кадры для инновационной экономики" реализуется в соответствии с </w:t>
      </w:r>
      <w:hyperlink r:id="rId215" w:history="1">
        <w:r>
          <w:rPr>
            <w:rFonts w:ascii="Calibri" w:hAnsi="Calibri" w:cs="Calibri"/>
            <w:color w:val="0000FF"/>
          </w:rPr>
          <w:t>Указом</w:t>
        </w:r>
      </w:hyperlink>
      <w:r>
        <w:rPr>
          <w:rFonts w:ascii="Calibri" w:hAnsi="Calibri" w:cs="Calibri"/>
        </w:rP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(далее - Указ), и </w:t>
      </w:r>
      <w:hyperlink r:id="rId2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2007/2008 - 2014/2015 учебных годах" (далее - постановление Правительства Российской Федерации N 177), международными соглашениями по вопросам подготовки управленческих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задает общие параметры Государственного плана, реализуемого в настоящее время, численность специалистов, проходящих подготовку, и сочетание образования и стажировок.</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определен порядок исполнения Минэкономразвития России функций государственного заказчика Государственного плана, а также функции по контролю за его реализацией.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Государственного плана являются Минобрнауки России, МИД России, органы исполнительной власти субъектов Российской Федерации, федеральное бюджетное учреждение "Федеральный ресурсный центр по организации подготовки управленческих кадров", российские образовательные учреждения, принимающие участие в реализации Государственного плана, организации, обеспечивающие координацию подготовки сотрудников иностранных организаций в рамках взаимных обменов в соответствии с Государственным планом, а также ведущие организации народного хозяйства Российской Федерации, в которых осуществляется стажировка сотрудников иностранных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w:t>
      </w:r>
      <w:hyperlink r:id="rId2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утверждаются: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положение</w:t>
        </w:r>
      </w:hyperlink>
      <w:r>
        <w:rPr>
          <w:rFonts w:ascii="Calibri" w:hAnsi="Calibri" w:cs="Calibri"/>
        </w:rPr>
        <w:t xml:space="preserve"> о Комиссии по организации подготовки управленческих кадров для организаций народного хозяйства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положение</w:t>
        </w:r>
      </w:hyperlink>
      <w:r>
        <w:rPr>
          <w:rFonts w:ascii="Calibri" w:hAnsi="Calibri" w:cs="Calibri"/>
        </w:rPr>
        <w:t xml:space="preserve"> о конкурсном отборе специалистов, преподавателей образовательных учреждений,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положение</w:t>
        </w:r>
      </w:hyperlink>
      <w:r>
        <w:rPr>
          <w:rFonts w:ascii="Calibri" w:hAnsi="Calibri" w:cs="Calibri"/>
        </w:rPr>
        <w:t xml:space="preserve"> об отборе российских образовательных учреждений для участия в реализации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положение</w:t>
        </w:r>
      </w:hyperlink>
      <w:r>
        <w:rPr>
          <w:rFonts w:ascii="Calibri" w:hAnsi="Calibri" w:cs="Calibri"/>
        </w:rPr>
        <w:t xml:space="preserve"> о подготовке сотрудников иностранных организаций в рамках взаимных обменов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подпрограммы действует Комиссия по организации подготовки управленческих </w:t>
      </w:r>
      <w:r>
        <w:rPr>
          <w:rFonts w:ascii="Calibri" w:hAnsi="Calibri" w:cs="Calibri"/>
        </w:rPr>
        <w:lastRenderedPageBreak/>
        <w:t>кадров для организаций народного хозяйства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Комиссию возглавляет председатель, назначаемый Правительством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достижения приоритетов государственной политики в сфере реализации подпрограммы, целей и задач Подпрограммы, Минэкономразвития России внесены на согласование и одобрены Правительством Российской Федерации следующие нормативные правовые акты:</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2011 г. N 783 "О внесении изменений в Постановление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 в соответствии с которым продлен срок реализации Государственного плана до 2014/2015 учебного года, а также дополнены разделы "Основные мероприятия" и "Финансовое обеспечение", предусматривающие мероприятия по подготовке (обучение в форме повышения квалификации и стажировки) управленческих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сентября 2011 г. N 1665-р об утверждении программы "Подготовка управленческих кадров в сфере здравоохранения и образования 2011 - 2014 годах", в соответствии с которым определены цели, задачи, сроки и этапы реализации, а также ожидаемые результаты ее выполнения.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в рамках реализации Государственного плана учитывают положения </w:t>
      </w:r>
      <w:hyperlink r:id="rId225"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части комплекса мер, направленных на подготовку и переподготовку управленческих кадров в социальной сфере, технических специалистов и инженеров, привлечения высококвалифицированных специалистов, а также проекта "дорожной карты" по переходу к национальной системе компетенций и квалификаций, разрабатываемой автономной некоммерческой организацией "Агентство стратегических инициатив".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комплексом мер, утвержденным Председателем Правительства Российской Федерации Д.А. Медведевым (от 4 декабря 2012 г. N 6697п-П8), а также согласно поручению Правительства Российской Федерации от 7 февраля 2013 г. N ДМ-П17-679 Минэкономразвития России проводит работу, направленную на внесение изменений в </w:t>
      </w:r>
      <w:hyperlink r:id="rId226" w:history="1">
        <w:r>
          <w:rPr>
            <w:rFonts w:ascii="Calibri" w:hAnsi="Calibri" w:cs="Calibri"/>
            <w:color w:val="0000FF"/>
          </w:rPr>
          <w:t>программу</w:t>
        </w:r>
      </w:hyperlink>
      <w:r>
        <w:rPr>
          <w:rFonts w:ascii="Calibri" w:hAnsi="Calibri" w:cs="Calibri"/>
        </w:rPr>
        <w:t xml:space="preserve"> "Подготовка управленческих кадров в сфере здравоохранения и образования в 2011 - 2014 годах", утвержденной распоряжением Правительства Российской Федерации от 27 сентября 2011 г. N 1665-р, в части продления ее действия до 2018 года, включения в нее программ профессиональной переподготовки управленческих кадров, а также расширения состава ее участников программы за счет управленческих кадров других отраслей социальной сферы (культуры, спорта, социальной защиты населения, труда и занятости).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предусматривается подготовка проектов нормативных правовых актов по обеспечению подготовки управленческих кадров в 2016 - 2020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функций секретариата Комиссии по организации подготовки управленческих кадров для организаций народного хозяйства Российской Федерации, а также выполнения некоторых функций государственного заказчика в рамках подпрограммы в 2008 году было создано федеральное бюджетное учреждение "Федеральный ресурсный центр по организации подготовки управленческих кадров". В настоящее время учреждение выполняет отдельные функции государственного заказчика в рамках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4" w:name="Par3120"/>
      <w:bookmarkEnd w:id="174"/>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выполняемых федеральным государственным учреждением "Федеральный ресурсный центр по организации подготовки управленческих кадров", представлен в </w:t>
      </w:r>
      <w:hyperlink w:anchor="Par9032" w:history="1">
        <w:r>
          <w:rPr>
            <w:rFonts w:ascii="Calibri" w:hAnsi="Calibri" w:cs="Calibri"/>
            <w:color w:val="0000FF"/>
          </w:rPr>
          <w:t>Приложении 5</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5" w:name="Par3125"/>
      <w:bookmarkEnd w:id="175"/>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 не относятся к предмету совместного ведения Российской Федерации и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являются исполнителями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бюджетам субъектов Российской Федерации предоставляются на софинансирование расходных обязательств субъектов Российской Федерации по профессиональной переподготовке и повышению квалификации управленческих кадров из числа специалистов, рекомендованных организациями народного хозяйства Российской Федерации по группе специальностей и направлений "Экономика и управление".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финансируются: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форме профессиональной переподготовки, повышения квалификации) российских специалистов в образовательных учреждениях в размере 33 процентов общей стоимости обучения (за счет средств бюджетов субъектов Российской Федерации также осуществляется финансирование 33 процентов от общей стоимости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форме повышения квалификации) работников в образовательных учреждениях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уполномоченных организаций в части обеспечения реализации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процентов общей стоимости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субъектам Российской Федерации осуществляется в соответствии с </w:t>
      </w:r>
      <w:hyperlink r:id="rId227"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которые утверждены постановлением Правительства Российской Федерации от 27 января 2010 г. N 1126 "О порядке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2007/08 - 2014/15 учебных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осуществляется на нижеследующих условиях.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 наличие бюджетных ассигнований в бюджете субъекта Российской Федерации на оплату оказанных специалистам образовательными учреждениями услуг по обучению.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 наличие договоров о финансовом обеспечении расходов, связанных с оплатой оказанных специалистам услуг по обучению, заключенных оранном исполнительной власти субъекта Российской Федерации и образовательными учреждениями, включенными в перечень образовательных учреждений для участия в реализации Государственного плана, и отчетов, подтверждающих исполнение договоров.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распределяется между бюджетами субъектов Российской Федерации исходя из количества специалистов, рекомендованных организациями народного хозяйства Российской Федерации для профессиональной переподготовки и повышения квалификации, направленных на обучение в образовательные учреждения в соответствующем учебном году, а также стоимости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заключаемых соглашений между Минэкономразвития России и исполнительными органами государственной власти субъектов Российской Федерации о предоставлении субсидий на софинансирование расходов, связанных с оплатой оказанных специалистам российскими образовательными учреждениями услуг планируется осуществление финансирования подготовки </w:t>
      </w:r>
      <w:r>
        <w:rPr>
          <w:rFonts w:ascii="Calibri" w:hAnsi="Calibri" w:cs="Calibri"/>
        </w:rPr>
        <w:lastRenderedPageBreak/>
        <w:t>не менее 5 тысяч управленцев ежегодно в объеме 148 221,30 тыс. рублей, 156 801,30 тыс. рублей и 156 801,30 тыс. рублей соответственно в 2013, 2014 и 2015 годах. Аналогичный объем софинансирования ожидается и в 2016 - 2020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показатели по количеству управленцев прошедших профессиональную переподготовку и повышение квалификации в разрезе субъектов Российской Федерации представлены в </w:t>
      </w:r>
      <w:hyperlink w:anchor="Par5855" w:history="1">
        <w:r>
          <w:rPr>
            <w:rFonts w:ascii="Calibri" w:hAnsi="Calibri" w:cs="Calibri"/>
            <w:color w:val="0000FF"/>
          </w:rPr>
          <w:t>Приложении 1а</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6" w:name="Par3147"/>
      <w:bookmarkEnd w:id="176"/>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участвуют в реализации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7" w:name="Par3155"/>
      <w:bookmarkEnd w:id="177"/>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решениями, принятыми на заседании Комиссии по организации подготовки управленческих кадров для организаций народного хозяйства Российской Федерации 2 марта 2011 г., дальнейшее развитие Государственного плана на 2012 - 2020 годы будет осуществляться, исходя из: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поэтапного перехода к увеличению проектно-ориентированных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современных образовательных технологий, основанных на активных методах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текущего и последующего контроля качества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количества специалистов, направляемых на зарубежные стажировки, прежде всего, на инновационные стажировки, в том числе в США;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количества обучающихся в рамках Государственного плана в соответствии с потребностями и направлениями модернизации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поставленных задач по дальнейшему развитию Государственного плана будет увеличен объем ее финансирования за счет средств федерального бюджета, в том числе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увеличение количества обучающихся по проектно-ориентированным программам (в 2012 году - 15 процентов от общего количества реализуемых образовательных программ, в 2013 году до 30 процентов и в 2014 году до 40 процентов, а также планируется увеличение до 50 процентов в 2015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стоимости обучения в образовательных учреждениях по программам типа "А" с 70,0 тыс. рублей до 100,0 тыс. рублей, по программам типа "В" с 40,0 тыс. рублей до 60,0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специалистов, направляемых на инновационные стажировки в США (до 6 человек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принятыми решениями объемы финансовых средств, предусмотренный на основное мероприятие 1 подпрограммы "Подготовка не менее 5 тысяч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основанных на методах активного обучения", в 2013, 2014 и 2015 годах составят 148 221,30 тыс. рублей, 156 801,30 тыс. рублей и 156 801,30 тыс. рублей соответственно. С 2013 по 2020 годов финансирование указанного основного мероприятия составит - 1245830,40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177 подготовка специалистов осуществляется за счет средств федерального бюджета, бюджетов субъектов Российской Федерации, средств организаций народного хозяйства Российской Федерации, образовательных учреждений, а также за счет собственных средств специалистов, проходящих </w:t>
      </w:r>
      <w:r>
        <w:rPr>
          <w:rFonts w:ascii="Calibri" w:hAnsi="Calibri" w:cs="Calibri"/>
        </w:rPr>
        <w:lastRenderedPageBreak/>
        <w:t>обучение в рамках Государственного плана.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осуществляется обучение российских специалистов в образовательных учреждениях (в форме профессиональной переподготовки, повышения квалификации) в размере 66 процентов общей стоимости обучения, в том числе 33 процентов общей стоимости обучения осуществляется за счет субсидий, предоставляемых из федерального бюджета бюджетам субъектов Российской Федерации на софинансирование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а также за счет собственных средств специалистов финансируется 34 процентов общей стоимости обучения.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народного хозяйства и специалистами будут оплачены услуги образовательных учреждений в сумме 152 712,85 тыс. рублей, 161 552,85 тыс. рублей и 161 552,85 тыс. рублей в 2013, 2014 и 2015 годах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основных мероприятий 2 и 3 подпрограммы осуществляется в рамках соглашения от 15 декабря 2009 г. N 21931-АЛ/Д04, заключенного между Минэкономразвития России и ФБУ "Федеральный ресурсный центр по организации подготовки управленческих кадров" о передаче функций государственного заказчика, связанных с реализацией мероприятий Государственного плана подготовки управленческих кадров для организаций народного хозяйства Российской Федерации в 2007/08 - 2014/15 учебных годах.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 цели Минэкономразвития России в 2013 - 2020 гг. предусмотрены бюджетные ассигнования в объеме 125 451,5 тыс. рублей ежегодно.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реализация данных мероприятий подпрограммы будет осуществляться в соответствии с государственным заданием ФБУ "Федеральный ресурсный центр по организации подготовки управленческих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бюджета предусмотрены для финансирования мероприятий в рамках подготовки управленческих кадров в сфере здравоохранения и образования, которые в 2013 - 2015 гг. составят 235 790,00 тыс. рублей ежегодно (основное мероприятие подпрограммы "Подготовка управленческих кадров в сфере здравоохранения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средства будут направлены на следующие цели: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РАНХиГС до 400 слушателей категории "А";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филиалах РАНХиГС во всех федеральных округах и учреждениях высшего профессионального образования - партнерах до 3600 слушателей категории "Б";</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зарубежных стажировок (200 человек ежегодно) на базе ведущих медицинских и образовательных учреждений для участников Программы, подготовивших проекты по внедрению технологий, направленных на модернизацию деятельности учреждений здравоохранения и образования, отобранные государственными аттестационными комиссиями.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общий объем ассигнований за счет средств федерального бюджета на 2013 - 2020 гг. составит 4276194,30 тыс.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78" w:name="Par3183"/>
      <w:bookmarkEnd w:id="178"/>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рисками реализации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средств из бюджетов бюджетной системы на реализацию подпрограммы при высокой инфляции и росте стоимости образовательных программ, аналогичных тем, которые реализуются в подпрограмме, а также стоимости других работ, аналогичных выполняемым в рамках подпрограммы (организации стажировок, информационно-технического обеспечения, проч.). Данная ситуация может привести к отказу от участия в подпрограмме наиболее квалифицированной части исполнителей и невозможности реализовать подпрограмму;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подготовки специалистов;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бизнес-проектов, разрабатываемых специалистами при прохождении подготовки в рамках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низкая эффективность реализации региональных программ модернизации здравоохранения </w:t>
      </w:r>
      <w:r>
        <w:rPr>
          <w:rFonts w:ascii="Calibri" w:hAnsi="Calibri" w:cs="Calibri"/>
        </w:rPr>
        <w:lastRenderedPageBreak/>
        <w:t>субъектов Российской Федерации и модернизации региональных систем общего образования, неэффективное использование средств федерального бюджета, предусмотренных на эти цели, необеспечение высокого качества медицинских и образовательных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управления риском недостатка средств на реализацию подпрограммы будет дополнительно проводиться увеличение стоимости образовательных программ, реализуемых в рамках подпрограммы, и других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подготовки специалистов проводятся мероприятия по совершенствованию методического обеспечения обучения, предоставления вузам современных образовательных технологий, а также по контролю качества подготовки и обновлению состава образовательных учреждений, участвующих в реализации подпрограммы. Проводятся как мероприятия по дополнительному отбору вузов, так и по исключению вузов из числа участвующих в реализации подпрограммы по итогам мониторинга качества подготовки.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управлением риском снижения качества бизнес-проектов, разрабатываемых специалистами при прохождении подготовки в рамках подпрограммы, проводятся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технологий, направленных на поддержку разработки бизнес-проектов специалистами, проводятся стажировки, как зарубежные, так и внутрироссийские, направленные на поддержку реализации бизнес-проектов специалистами.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риска низкой эффективности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за период 2012 - 2015 годов будет подготовлено до 15 тысяч управленческих кадров в сфере здравоохранения и образования, не менее 600 из которых пройдут зарубежные стажировки на базе ведущих медицинских и образовательных учреждений.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179" w:name="Par3196"/>
      <w:bookmarkEnd w:id="179"/>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системы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80" w:name="Par3200"/>
      <w:bookmarkEnd w:id="180"/>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системы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Российской Федерации "Российской Федерации"</w:t>
      </w:r>
    </w:p>
    <w:p w:rsidR="008C77ED" w:rsidRDefault="008C77ED">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37"/>
        <w:gridCol w:w="245"/>
        <w:gridCol w:w="6457"/>
      </w:tblGrid>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стратегического управления</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стратегического планирования и прогнозирования социально-экономического развития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государственных инвестиций</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индикаторы и </w:t>
            </w:r>
            <w:r>
              <w:rPr>
                <w:rFonts w:ascii="Calibri" w:hAnsi="Calibri" w:cs="Calibri"/>
              </w:rPr>
              <w:lastRenderedPageBreak/>
              <w:t>показатели подпрограммы</w:t>
            </w:r>
          </w:p>
        </w:tc>
        <w:tc>
          <w:tcPr>
            <w:tcW w:w="245"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отраслей и секторов экономики в валовом внутреннем </w:t>
            </w:r>
            <w:r>
              <w:rPr>
                <w:rFonts w:ascii="Calibri" w:hAnsi="Calibri" w:cs="Calibri"/>
              </w:rPr>
              <w:lastRenderedPageBreak/>
              <w:t>продукте, развивающихся с использованием инструментов стратегического планирования,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процентов</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45"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гг. Подпрограмма реализуется в один этап</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1 505 077,60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- 158 267,90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- 168 942,30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- 169 336,60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- 185 655,10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- 193 533,80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- 201 626,50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- 209 822,20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- 217 893,20 тыс. рублей</w:t>
            </w:r>
          </w:p>
        </w:tc>
      </w:tr>
      <w:tr w:rsidR="00C65754">
        <w:tblPrEx>
          <w:tblCellMar>
            <w:top w:w="0" w:type="dxa"/>
            <w:bottom w:w="0" w:type="dxa"/>
          </w:tblCellMar>
        </w:tblPrEx>
        <w:trPr>
          <w:tblCellSpacing w:w="5" w:type="nil"/>
        </w:trPr>
        <w:tc>
          <w:tcPr>
            <w:tcW w:w="293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45"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отраслей и секторов экономики в валовом внутреннем продукте, развивающихся с использованием инструментов стратегического планирования с 55 процентов в 2012 году до 60 процентов - в 2020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прогнозируемых в предыдущем году не более 20 процентов</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81" w:name="Par3246"/>
      <w:bookmarkEnd w:id="181"/>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успешного социально-экономического развития Российской Федерации, повышения конкурентоспособности и инвестиционной привлекательности российской экономики является наличие эффективно функционирующей системы государственного стратегического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стратегического подхода к управлению социально-экономическим развитием Российской Федерации в 2008 году Правительством Российской Федерации была утверждена Концепция долгосрочного социально-экономического развития Российской Федерации на период до 2020 года. Система долгосрочных приоритетов, целей, задач и индикаторов социально-экономического развития, представленная в этом документе, обеспечила возможность принятия скоординированных долгосрочных стратегий и программ развития Российской Федерации в целом, отдельных субъектов Российской Федерации и секторов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заданные указанной концепцией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федеральных органов исполнительной власти с долгосрочными целями и приоритетными направлениями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 федеральном уровне отмечается недостаточное использование программно-целевых и проектных подходов в достижении стратегических целей и приоритетов государственной политики (в частности, менее 20 процентов расходов федерального бюджета распределены по программному принципу, что снижает эффективность и результативность бюджетных расходов).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Нарастающая глобализация мировой экономики и сохраняющаяся высокая зависимость экономического развития России от конъюнктуры на мировых рынках повышают требования к точности и своевременности краткосрочных и среднесрочных прогнозов, ставят задачу создания систем "раннего предупреждения", предполагающих возможность своевременной разработки и реализации мер, упреждающих возникновение кризисных явлений в экономике и социальной сфере и обеспечивающих сохранение заданной траектории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подход к управлению социально-экономическим развитием Российской Федерации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органов государственной власти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шагом на пути формирования системы государственного стратегического управления является регламентация процессов государственного управления, нашедшая отражение в </w:t>
      </w:r>
      <w:hyperlink r:id="rId229" w:history="1">
        <w:r>
          <w:rPr>
            <w:rFonts w:ascii="Calibri" w:hAnsi="Calibri" w:cs="Calibri"/>
            <w:color w:val="0000FF"/>
          </w:rPr>
          <w:t>проекте</w:t>
        </w:r>
      </w:hyperlink>
      <w:r>
        <w:rPr>
          <w:rFonts w:ascii="Calibri" w:hAnsi="Calibri" w:cs="Calibri"/>
        </w:rPr>
        <w:t xml:space="preserve"> федерального закона "О государственном стратегическом планировании" (проект N 143912-6 принят в первом чтении Государственной Думой 21 ноября 2012 г.). Основной идеей законопроекта является создание правовой основы для разработки, построения и функционирования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В рамках законопроекта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Российской Федерации. Активное формирование и использование инструмента государственных программ Российской Федерации создаст предпосылки для решения наиболее сложной и актуальной проблемы государственного стратегического управления, заключающейся в отсутствии понятной и прозрачной связи бюджетного планирования в рамках бюджетного процесса с государственным стратегическим планированием. Как следствие, приоритетность государственных расходов, их динамика не в полной мере соответствуют долгосрочным целям </w:t>
      </w:r>
      <w:r>
        <w:rPr>
          <w:rFonts w:ascii="Calibri" w:hAnsi="Calibri" w:cs="Calibri"/>
        </w:rPr>
        <w:lastRenderedPageBreak/>
        <w:t>социально-экономического развития страны, а процесс принятия бюджетных решений не носит системного стратегического характера.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Российской Федерации призваны решить и другую важную проблему в сфере стратегического управления социально-экономическим развитием, связанную с отсутствием взаимосвязи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Недостаточная координация данных направлений деятельности федеральных органов исполнительной власти снижает эффективность бюджетных расходов, не позволяет в полной мере учесть вклад государственного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государственных программ Российской Федерации позволит повысить эффективность государственного регулирования, исполнения государственных функций и оказания государственных услуг, межведомственной и межуровневой координации деятельности органов исполнительной власти, расширить возможности по использованию потенциала государственных учреждений, предприятий с государственным участием, негосударственных организаций в целях обеспечения достижения стратегических целей социально-экономического развития и национальной безопасности.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существующей системы государственного стратегического управления позволит изменить подход к среднесрочному прогнозированию, увязать его с прогнозированием долгосрочных тенденций развития, обеспечить координацию разработки, реализации долгосрочных стратегий и программ развития Российской Федерации в целом, а также отдельных регионов и секторов экономики, их взаимную увязку по целям, срокам и мероприятиям.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продолжится развитие механизмов бюджетирования, ориентированного на результат с целью обеспечения четкой взаимосвязи между приоритетами государственной политики, результатами деятельности органов государственной власти и бюджетными средствами, выделяемыми на их достижение.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федеральных целевых программ и механизмов осуществления бюджетных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дебюрократизации работы с механизмами государственного инвестирования в рамках исполнения поручения Правительства Российской Федерации от 27 декабря 2008 г. N ВП-П13-7745:</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30" w:history="1">
        <w:r>
          <w:rPr>
            <w:rFonts w:ascii="Calibri" w:hAnsi="Calibri" w:cs="Calibri"/>
            <w:color w:val="0000FF"/>
          </w:rPr>
          <w:t>статью 11</w:t>
        </w:r>
      </w:hyperlink>
      <w:r>
        <w:rPr>
          <w:rFonts w:ascii="Calibri" w:hAnsi="Calibri" w:cs="Calibri"/>
        </w:rPr>
        <w:t xml:space="preserve"> Федерального закона "Об инвестиционной деятельности в Российской Федерации, осуществляемой в форме капитальных вложений" (Федеральный </w:t>
      </w:r>
      <w:hyperlink r:id="rId231" w:history="1">
        <w:r>
          <w:rPr>
            <w:rFonts w:ascii="Calibri" w:hAnsi="Calibri" w:cs="Calibri"/>
            <w:color w:val="0000FF"/>
          </w:rPr>
          <w:t>закон</w:t>
        </w:r>
      </w:hyperlink>
      <w:r>
        <w:rPr>
          <w:rFonts w:ascii="Calibri" w:hAnsi="Calibri" w:cs="Calibri"/>
        </w:rPr>
        <w:t xml:space="preserve"> от 23 июля 2010 г. N 184-ФЗ);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32" w:history="1">
        <w:r>
          <w:rPr>
            <w:rFonts w:ascii="Calibri" w:hAnsi="Calibri" w:cs="Calibri"/>
            <w:color w:val="0000FF"/>
          </w:rPr>
          <w:t>Порядок</w:t>
        </w:r>
      </w:hyperlink>
      <w:r>
        <w:rPr>
          <w:rFonts w:ascii="Calibri" w:hAnsi="Calibri" w:cs="Calibri"/>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 (</w:t>
      </w:r>
      <w:hyperlink r:id="rId2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ноября 2009 г. N 927);</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внесены изменения в </w:t>
      </w:r>
      <w:hyperlink r:id="rId234" w:history="1">
        <w:r>
          <w:rPr>
            <w:rFonts w:ascii="Calibri" w:hAnsi="Calibri" w:cs="Calibri"/>
            <w:color w:val="0000FF"/>
          </w:rPr>
          <w:t>Правила</w:t>
        </w:r>
      </w:hyperlink>
      <w:r>
        <w:rPr>
          <w:rFonts w:ascii="Calibri" w:hAnsi="Calibri" w:cs="Calibri"/>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утвержденные постановлением Правительства Российской Федерации от 12 августа 2008 г. N 590;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утверждены </w:t>
      </w:r>
      <w:hyperlink r:id="rId235" w:history="1">
        <w:r>
          <w:rPr>
            <w:rFonts w:ascii="Calibri" w:hAnsi="Calibri" w:cs="Calibri"/>
            <w:color w:val="0000FF"/>
          </w:rPr>
          <w:t>Правила</w:t>
        </w:r>
      </w:hyperlink>
      <w:r>
        <w:rPr>
          <w:rFonts w:ascii="Calibri" w:hAnsi="Calibri" w:cs="Calibri"/>
        </w:rPr>
        <w:t xml:space="preserve"> формирования и реализации федеральной адресной инвестиционной программы (постановление Правительства Российской Федерации от 13 сентября 2010 г. N 716).</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было обеспечено повышение самостоятельности главных распорядителей средств федерального бюджета. В качестве примера можно указать предоставление государственным заказчикам федеральных целевых программ права включать в их состав укрупненные мероприятия, подлежащие детализации в ходе реализации федеральной адресной инвестиционной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федеральной адресной инвестиционной программы изменения нормативно-правовой базы направлены на сокращение сроков и упрощение процедур утверждения и </w:t>
      </w:r>
      <w:r>
        <w:rPr>
          <w:rFonts w:ascii="Calibri" w:hAnsi="Calibri" w:cs="Calibri"/>
        </w:rPr>
        <w:lastRenderedPageBreak/>
        <w:t>внесения изменений в федеральную адресную инвестиционную программу, в том числе установлены случаи, в которых данные изменения допускается вносить с последующим внесением изменений в соответствующие нормативные правовые акты.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данных положений направлено на повышение самостоятельности и эффективности работы федеральных органов исполнительной власти. При этом сохраняется действенный контроль за ходом строительства объектов, ответственность за целевое и адресное использование бюджетных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ответственности ведомств в работе с инвестиционными расходами при подготовке проектов федеральных законов о федеральном бюджете на очередной финансовый год и плановый период предусматривается, что в случае отсутствия, по состоянию на 1 апреля соответствующего года, утвержденной в установленном порядке проектной документации по объектам капитального строительства, а также детализации мероприятий (укрупненных инвестиционных проектов), включенных в федеральную адресную инвестиционную программу, Правительство Российской Федерации вправе принять решение о перераспределении бюджетных ассигнований на осуществление бюджетных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работа и предпринимаемые в настоящее время действия позволят обеспечить повышение эффективности расходов, направляемых на реализацию федеральных целевых программ и федеральной адресной инвестиционной программы, повысить перспективы применения механизмов ведомственных целевых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82" w:name="Par3273"/>
      <w:bookmarkEnd w:id="182"/>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3" w:name="Par3279"/>
      <w:bookmarkEnd w:id="183"/>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стратегического управления является одной из приоритетных задач в рамках реализации </w:t>
      </w:r>
      <w:hyperlink r:id="rId236" w:history="1">
        <w:r>
          <w:rPr>
            <w:rFonts w:ascii="Calibri" w:hAnsi="Calibri" w:cs="Calibri"/>
            <w:color w:val="0000FF"/>
          </w:rPr>
          <w:t>Указа</w:t>
        </w:r>
      </w:hyperlink>
      <w:r>
        <w:rPr>
          <w:rFonts w:ascii="Calibri" w:hAnsi="Calibri" w:cs="Calibri"/>
        </w:rPr>
        <w:t xml:space="preserve"> Президента Российской Федерации N 596 от 7 мая 2012 г. "О долгосрочной экономической политике".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Бюджетного </w:t>
      </w:r>
      <w:hyperlink r:id="rId237" w:history="1">
        <w:r>
          <w:rPr>
            <w:rFonts w:ascii="Calibri" w:hAnsi="Calibri" w:cs="Calibri"/>
            <w:color w:val="0000FF"/>
          </w:rPr>
          <w:t>послания</w:t>
        </w:r>
      </w:hyperlink>
      <w:r>
        <w:rPr>
          <w:rFonts w:ascii="Calibri" w:hAnsi="Calibri" w:cs="Calibri"/>
        </w:rPr>
        <w:t xml:space="preserve"> Президента Российской Федерации Федеральному Собранию Российской Федерации "О бюджетной политике в 2013 - 2015 годах" по осуществлению перехода к формированию федерального бюджета по программно-целевому принципу.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предстоящие годы планируется завершить переход к формированию бюджетов всех уровней по программно-целевому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 страны.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государственных (муниципальных) программ как основы формирования бюджета придаст целевую направленность бюджетным средствам, появится возможность оценить эффективность работы органов государственной (муниципальной) власти путем сопоставления достигаемых результатов и затраченных на их достижение денежных средств и иных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стратегического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и расширение использования инструмента государственных программ Российской Федерации для планирования деятельности федеральных органов исполнительной </w:t>
      </w:r>
      <w:r>
        <w:rPr>
          <w:rFonts w:ascii="Calibri" w:hAnsi="Calibri" w:cs="Calibri"/>
        </w:rPr>
        <w:lastRenderedPageBreak/>
        <w:t>власти, бюджетного планирования и реализации стратегических документов социально-экономического развития Российской Федерации с учетом стратегических приоритетов инновационного развития экономики, стимулирование к расширению применения программных подходов на субфедеральном уровне;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скоординированности социальной и экономической политики на федеральном и региональном уровнях, участие в отборе и 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органов государственной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государственных инвестиций в интересах: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модернизации российской экономики и снятия инфраструктурных ограничений;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социальной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инфраструктурных инвестиций государства в регионах с учетом приоритетов пространственного развития и ресурсных ограничений, в том числе демографических;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новой системы государственного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обороноспособности и безопасности.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механизмов осуществления государственных инвестиций, в том числе с использованием инструментов публичного технологического и ценового аудита всех крупных инвестиционных проектов с государственным участием.</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4" w:name="Par3298"/>
      <w:bookmarkEnd w:id="184"/>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стратегического управления как основной целевой ориентир настоящей подпрограммы предусматривает решение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первая. Развитие системы государственного стратегического планирования и прогнозирования социально-экономического развития Российской Федерации предполагает развитие нормативной правовой и методологической базы государственного стратегического планирования, содействие разработке и внедрению программно-целевых методов управления в деятельность федеральных органов исполнительной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вторая. 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ориентировано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третья. 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 предполагает обеспечение системных усилий по повышению качества и эффективности мер государственной политики, их ориентирование на решение проблем поддержки диверсификации экономики, инновационно-ориентированного роста и социального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четвертая. Совершенствование механизмов государственных инвестиций предполагает проведение комплекса работ по совершенствованию нормативно-правовой и методологической базы осуществления государственных инвестиций, поддержке формирования федерального бюджета на очередной финансовый год и плановый период в части расходов на реализацию федеральных целевых программ, бюджетных инвестиций в объекты капитального строительства, не включенные в федеральные целевые программы, предоставлению субсидий бюджетам субъектов Российской Федерации на софинансирование объектов капитального строительства региональной и муниципальной собственности, формированию и ведению федеральной адресной инвестиционной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указанных задач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отраслей и секторов экономики, развивающихся с использованием инструментов </w:t>
      </w:r>
      <w:r>
        <w:rPr>
          <w:rFonts w:ascii="Calibri" w:hAnsi="Calibri" w:cs="Calibri"/>
        </w:rPr>
        <w:lastRenderedPageBreak/>
        <w:t>стратегического планирования, в валовом внутреннем продукте,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5" w:name="Par3310"/>
      <w:bookmarkEnd w:id="185"/>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количественном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отраслей и секторов экономики, развивающихся с использованием инструментов стратегического планирования, с 55 процентов в 2012 году до 60 процентов - в 2020 году в валовом внутреннем продукте;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 будет держаться в пределах "+"/"-" 20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условия для достижения следующих результатов в качественном выражении: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действующей системы стратегических документов и создания практических механизмов по их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федеральных органов исполнительной власти за достижение стратегических целей государственной политики в отдельных отраслях экономики и в социальной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всех инструментов и ресурсов для достижения стратегических целей и решения приоритетных задач, обеспечения эффективного межведомственного и межуровневого взаимодействия органов государственной власти, вовлечения государственных и негосударственных организаций в достижение целей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и оперативности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планирования деятельности, внедрения регулярного мониторинга и оценки эффективности реализации государственных программ и улучшения точности прогнозов социально-экономического развития, позволяющих обеспечить своевременное принятие мер, упреждающих возникновение кризисных явлений в экономике;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взаимосвязи стратегического и бюджетного планирования, достигнутых и ожидаемых результатов и объемов финансирования соответствующих направлений, повышения эффективности и результативности бюджетных расходов;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приоритетов государственной политики в отраслях и секторах экономики и в социальной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увязки мер социальной политики и требований повышения конкурентоспособности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и в сфере регулирования занятости, на основе оценки социальных эффектов от предлагаемых новаций в сфере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деятельности органов государственной власти;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обеспечение начала работ на всех объектах капитального строительства, включенных в федеральную адресную инвестиционную программу.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будет способствовать достижению целей и решению задач других государственных программ Российской Федерации,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238" w:history="1">
        <w:r>
          <w:rPr>
            <w:rFonts w:ascii="Calibri" w:hAnsi="Calibri" w:cs="Calibri"/>
            <w:color w:val="0000FF"/>
          </w:rPr>
          <w:t>программы</w:t>
        </w:r>
      </w:hyperlink>
      <w:r>
        <w:rPr>
          <w:rFonts w:ascii="Calibri" w:hAnsi="Calibri" w:cs="Calibri"/>
        </w:rPr>
        <w:t xml:space="preserve"> Российской Федерации "Информационное общество (2011 - 2020 годы)", в части построения электронного правительства и повышения эффективности государственного управления, а также создания основы для формирования и развития государственных межведомственных информационных систем, предназначенных для принятия решений в реальном времени;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239" w:history="1">
        <w:r>
          <w:rPr>
            <w:rFonts w:ascii="Calibri" w:hAnsi="Calibri" w:cs="Calibri"/>
            <w:color w:val="0000FF"/>
          </w:rPr>
          <w:t>программы</w:t>
        </w:r>
      </w:hyperlink>
      <w:r>
        <w:rPr>
          <w:rFonts w:ascii="Calibri" w:hAnsi="Calibri" w:cs="Calibri"/>
        </w:rPr>
        <w:t xml:space="preserve"> Российской Федерации "Региональная политика и федеративные отношения" в части совершенствования системы стратегического управления </w:t>
      </w:r>
      <w:r>
        <w:rPr>
          <w:rFonts w:ascii="Calibri" w:hAnsi="Calibri" w:cs="Calibri"/>
        </w:rPr>
        <w:lastRenderedPageBreak/>
        <w:t>социально-экономическим развитием и прогнозирования социально-экономического развития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240" w:history="1">
        <w:r>
          <w:rPr>
            <w:rFonts w:ascii="Calibri" w:hAnsi="Calibri" w:cs="Calibri"/>
            <w:color w:val="0000FF"/>
          </w:rPr>
          <w:t>программы</w:t>
        </w:r>
      </w:hyperlink>
      <w:r>
        <w:rPr>
          <w:rFonts w:ascii="Calibri" w:hAnsi="Calibri" w:cs="Calibri"/>
        </w:rPr>
        <w:t xml:space="preserve"> Российской Федерации "Управление государственными финансами" в части повышения эффективности и результативности бюджетных расходов;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 Российской Федерации в секторах экономики в части обеспечения учета приоритетов государственной политики в сфере модернизации, стимулирования диверсификации, повышения конкурентоспособности российской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 Российской Федерации в социальной сфере в части обеспечения разработки и реализации обоснованных экономических механизмов в социальной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ожидаемых конечных результатов подпрограммы в разрезе основных мероприятий представлено в </w:t>
      </w:r>
      <w:hyperlink w:anchor="Par3340" w:history="1">
        <w:r>
          <w:rPr>
            <w:rFonts w:ascii="Calibri" w:hAnsi="Calibri" w:cs="Calibri"/>
            <w:color w:val="0000FF"/>
          </w:rPr>
          <w:t>разделе 3</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показателей (индикаторов) реализации подпрограммы представлена в </w:t>
      </w:r>
      <w:hyperlink w:anchor="Par4805" w:history="1">
        <w:r>
          <w:rPr>
            <w:rFonts w:ascii="Calibri" w:hAnsi="Calibri" w:cs="Calibri"/>
            <w:color w:val="0000FF"/>
          </w:rPr>
          <w:t>приложении N 1</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6" w:name="Par3336"/>
      <w:bookmarkEnd w:id="186"/>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период 2013 - 2020 годы. Этапы реализации подпрограммы не выделяются.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87" w:name="Par3340"/>
      <w:bookmarkEnd w:id="187"/>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реализуется шесть основных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8" w:name="Par3344"/>
      <w:bookmarkEnd w:id="188"/>
      <w:r>
        <w:rPr>
          <w:rFonts w:ascii="Calibri" w:hAnsi="Calibri" w:cs="Calibri"/>
        </w:rPr>
        <w:t>1. Развитие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данного основного мероприятия являются внедрение государственных программ Российской Федерации в деятельность федеральных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государственного стратегического планирования требует решения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стратегического планирования и бюджетирования, внедрение и поддержка реестра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внедрение современных методов государственного стратегического планирования и бюджетирования с учетом использования механизмов общественного обсуждения программных документов;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контроля и мониторинга реализации инструментов государственного стратегического планирования и бюджетирования, в том числе с использованием механизмов общественного обсуждения достигнутых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оценки и корректировки программных документов с учетом достигнутых и ожидаемых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основными конечными качественными и количественными результатами реализации данного основного мероприятия должны стать: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нормативной правовой базы, обеспечивающей реализацию федерального закона "О государственном стратегическом планировании" (в течение шести месяцев с момента его принятия в установленном порядке);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государственных программ Российской Федерации с учетом приоритетов </w:t>
      </w:r>
      <w:hyperlink r:id="rId241"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ориентирование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федерального бюджета, направленных на реализацию утвержденных государственных программ Российской Федерации (за исключением расходов на содержание центральных аппаратов и территориальных органов федеральных органов государственной власти) - не менее 95 процентов расходов федерального бюджета на 2015 год и последующие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программ Российской Федерации, эффективность реализации которых улучшилась в отчетном периоде, в общем количестве государственных программ Российской Федерации, в реализации которых в ходе мониторинга и оценки были выявлены проблемы, - не менее 85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законопроектов, включенных в план законопроектной деятельности Правительства Российской Федерации, подготавливаемых в соответствии с мерами государственного регулирования, предусмотренными государственными программами Российской Федерации, в общем количестве законопроектов, включенных в план законопроектной деятельности Правительства Российской Федерации, не менее 75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89" w:name="Par3362"/>
      <w:bookmarkEnd w:id="189"/>
      <w:r>
        <w:rPr>
          <w:rFonts w:ascii="Calibri" w:hAnsi="Calibri" w:cs="Calibri"/>
        </w:rPr>
        <w:t>2. Разработка прогнозов социально-экономического развития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данного основного мероприятия являются разработка прогнозов социально-экономического развития Российской Федерации, повышение их обоснованности и достоверности. В рамках данного основного мероприятия будут проведены следующие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научной и методологической базы в области государственного прогнозирования, в том числе долгосрочного прогнозирования;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среднесрочных и краткосрочных прогнозов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0" w:name="Par3370"/>
      <w:bookmarkEnd w:id="190"/>
      <w:r>
        <w:rPr>
          <w:rFonts w:ascii="Calibri" w:hAnsi="Calibri" w:cs="Calibri"/>
        </w:rPr>
        <w:t>3. Реализация механизмов стратегического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социально-экономическим развитием субъектов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данного основного мероприятия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территориального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инфраструктуры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реализуемых субъектами Российской Федерации приоритетных инвестиционных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отклонения прогнозных значений показателей социально-экономического развития субъектов Российской Федерации от фактических.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проведены работы по отбору и поддержке приоритетных региональных инвестиционных проектов и обеспечению реализации значимых международных проектов в субъектах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данного основного мероприятия доля расходов консолидированных бюджетов субъектов Российской Федерации, распределенных по программам, в общем объеме расходов консолидированных бюджетов субъектов Российской Федерации (за исключением межбюджетных трансфертов) составит не менее 70 процентов к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1" w:name="Par3384"/>
      <w:bookmarkEnd w:id="191"/>
      <w:r>
        <w:rPr>
          <w:rFonts w:ascii="Calibri" w:hAnsi="Calibri" w:cs="Calibri"/>
        </w:rPr>
        <w:t>4. Разработка предложений по совершенствованию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участию в реализации государственной политики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секторах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должно стать 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комплекса мероприятий в рамках данного основного мероприятия является продвижение государственной политики, направленной на модернизацию секторов экономики, стимулирование диверсификации и повышение конкурентоспособности приоритетных отраслей экономики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2" w:name="Par3392"/>
      <w:bookmarkEnd w:id="192"/>
      <w:r>
        <w:rPr>
          <w:rFonts w:ascii="Calibri" w:hAnsi="Calibri" w:cs="Calibri"/>
        </w:rPr>
        <w:t>5. Разработка предложений по совершенствованию и участие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государственной политики в социальной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планируется формирование условий для эффективного развития социальной сферы за счет подготовки и анализа предложений по совершенствованию нормативной правовой базы, а также формирования предложений по реализации проектов, программ и мероприятий, в том числе объемам их финансирования и механизмам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данного основного мероприятия станет 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 на основе оценки социальных и экономических эффектов от предлагаемых новаций в сфере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качества государственного регулирования в области демографии за счет оценки влияния мер демографической политики на демографическую ситуацию;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эффективных рынка труда и системы регулирования миграционных потоков, адекватных требованиям развития экономики, повышению территориальной мобильности рабочей силы, развитию кадрового потенциала;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и качества медицинской помощи и лекарственного обеспечения для широких слоев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ориентирующих граждан на здоровый образ жизни, в том числе на занятия физической культурой и спортом;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условий для модернизации российской системы образования, обеспечения стабильности и преемственности в развитии системы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для граждан Российской Федерации образования и услуг в сфере культуры и искусства;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 социальной защиты и социального страхования, повышения уровня предоставляемых государственных социальных гарантий за счет более эффективного использования направляемых на эти цели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позволяющих работающим гражданам сформировать в системе обязательного пенсионного страхования достаточные пенсионные накопления;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обеспечивающих повышение доступности жилья для всех категорий граждан и соответствие объема комфортного жилищного фонда потребностям населения.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3" w:name="Par3409"/>
      <w:bookmarkEnd w:id="193"/>
      <w:r>
        <w:rPr>
          <w:rFonts w:ascii="Calibri" w:hAnsi="Calibri" w:cs="Calibri"/>
        </w:rPr>
        <w:t>6. Формирование расходов инвестиционного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формирование и реализация федеральной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инвестиционной программы на очередной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год и плановый период</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задачи данного основного мероприятия носят постоянный характер, меры по их обеспечению будут осуществляться в течение всего срока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станут: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в установленном порядке федеральная адресная инвестиционная программа;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информационный ресурс федеральной адресной инвестиционной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бюджетным проектировкам в части расходов инвестиционного характера;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федеральной адресной инвестиционной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основного мероприятия будет обеспечено внедрение механизмов проведения публичного технологического и ценового аудита всех крупных инвестиционных проектов, включаемых в федеральную адресную инвестиционную программу.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основного мероприятия напрямую обеспечивает достижение показателя подпрограммы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его реализация будет способствовать достижению целевого значения показателя "доля государственных программ, эффективность реализации которых улучшилась в отчетном периоде, в общем количестве государственных программ, в реализации которых в ходе мониторинга и оценки были выявлены проблемы" в части реализации мероприятий государственных программ, предполагающих осуществление государственных инвестиций.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4" w:name="Par3423"/>
      <w:bookmarkEnd w:id="194"/>
      <w:r>
        <w:rPr>
          <w:rFonts w:ascii="Calibri" w:hAnsi="Calibri" w:cs="Calibri"/>
        </w:rPr>
        <w:t>7. Создание условий для эффективной разработки и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целевых программ и целевых программ ведомств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основное мероприятие будет выполняться на постоянной основе в течение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выполнения данного основного мероприятия будут сформированы: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федеральных целевых программ, подлежащих финансированию за счет средств федерального бюджета на очередной финансовый год и плановый период;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федеральных целевых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утвержденных в установленном порядке целевых программ ведомств;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целевых программ ведомств, предлагаемых к финансированию (полностью или частично) из бюджета принимаемых обязательств;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данные о ходе реализации федеральных целевых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способствовать достижению целевого значения показателя "доля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 Кроме того, реализация основного мероприятия также будет способствовать достижению целевого значения указанного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195" w:name="Par3435"/>
      <w:bookmarkEnd w:id="195"/>
      <w:r>
        <w:rPr>
          <w:rFonts w:ascii="Calibri" w:hAnsi="Calibri" w:cs="Calibri"/>
        </w:rPr>
        <w:t>8. Научно-аналитическое обеспечение развития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планирования и прогнозирования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данного основного мероприятия - 2013 - 2020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основного мероприятия предполагается проведение фундаментальных и прикладных научно-исследовательских работ, подготовка научных кадров по направлениям совершенствования стратегического планирования и управления и совершенствования методов и процедур прогнозирования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будет обеспечиваться за счет оказания государственных услуг (выполнения работ) подведомственными Минэкономразвития России учреждениями (ФГБУ </w:t>
      </w:r>
      <w:r>
        <w:rPr>
          <w:rFonts w:ascii="Calibri" w:hAnsi="Calibri" w:cs="Calibri"/>
        </w:rPr>
        <w:lastRenderedPageBreak/>
        <w:t>"ИМЭИ" и ФГБУ "СОПС").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нереализации основного мероприятия могут быть связаны с ухудшением качества методологии, используемой в рамках развития стратегического управления, планирования и прогнозирования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96" w:name="Par3443"/>
      <w:bookmarkEnd w:id="196"/>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меры по совершенствованию правового регулирования вопросов организации стратегического управления и государственного прогнозирования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федерального закона "О государственном стратегическом планировании" и создание нормативной правовой базы в рамках его реализации обеспечат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Реализация положений данного закона позволит ликвидировать дублирование между различными стратегическими и плановыми документами, создать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обеспечить комплексный подход к решению приоритетных задач развития на основе использования программно-целевых методов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положений федерального закона "О государственном стратегическом планировании" в рамках подпрограммы будут разработаны: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реестров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общественного обсуждения в рамках разработки и реализации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условий для эффективного развития социальной сферы будет осуществляться подготовка предложений по совершенствованию нормативной правовой базы в данной области, а также формирование предложений по реализации проектов, программ и мероприятий, в том числе объемам их финансирования и механизмам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будут осуществляться: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проектов федеральных целевых программ и ведомственных целевых программ на предмет их соответствия государственной политики в сферах образования, здравоохранения, культуры, физической культуры и спорта, молодежной, жилищной и социальной политики, приоритетным национальным проектам, стратегиям и концепциям развития соответствующих сфер на среднесрочный и долгосрочный период, анализ экономической эффективности их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мониторинг экономических аспектов стратегий развития в сфере образования, здравоохранения, культуры,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проектов нормативных правовых актов в сфере образования, здравоохранения, культуры, в том числе кинематографии, молодежной политики, массовых коммуникаций, физической культуры и спорта, обязательного медицинского, социального, пенсионного страхования, жилищной и социально-трудовой сферы и демографической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институциональным преобразованиям в сфере здравоохранения, включая обязательное медицинское страхование, анализ экономической эффективности реализации Программы государственных гарантий оказания гражданам Российской Федерации бесплатной медицинской помощи;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материалов по вопросам обеспечения доступности жилья для всех категорий граждан, а также соответствия объема комфортного жилищного фонда потребностям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нормативных правовых актов и предложений по вопросам развития системы обязательного пенсионного страхования, регулирования установления страховой и базовой </w:t>
      </w:r>
      <w:r>
        <w:rPr>
          <w:rFonts w:ascii="Calibri" w:hAnsi="Calibri" w:cs="Calibri"/>
        </w:rPr>
        <w:lastRenderedPageBreak/>
        <w:t>частей трудовой пенсии, досрочного пенсионного обеспечения, предоставления социальных пенсий, пенсионного обеспечения государственных служащих, установления дополнительного ежемесячного материального обеспечения отдельным категориям граждан, имеющим особые заслуги перед народом и государством, дополнительное пенсионное обеспечение в отдельных отраслях, а также регулирования деятельности страховщиков по обязательному пенсионному страхованию;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анализ расходов, экспертиза нормативных правовых актов и других предложений по вопросам формирования проектов бюджетов Федерального фонда обязательного медицинского страхования, Фонда социального страхования Российской Федерации, Пенсионного фонда Российской Федерации на очередной плановый период, а также отчетов об их исполнении;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регулирования трудовых отношений, условий и охраны труда, а также по вопросам оплаты труда, обеспечения прав работников и ответственности работодателя на своевременную и в полном объеме оплату труда;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вопросам занятости, включая осуществление мер по снижению напряженности на рынке труда, поддержки безработных, обеспечению гибкости и преодолению структурных диспропорций на рынке труда, трудовой миграции населения, регулирования привлечения в экономику иностранной рабочей силы;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рассмотрение и подготовка других предложений по вопросам инвестирования средств пенсионных накоплений, финансирования выплат за счет средств пенсионных накоплений, софинансирования добровольных пенсионных накоплений, реализации прав граждан на средства материнского (семейного) капитала;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развития системы обязательного социального страхования, формирования и исполнения обязательств, финансируемых за счет средств Фонда социального страхования Российской Федерации, развития обязательного социального страхования от несчастных случаев на производстве и профессиональных заболеваний;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разработки и проведения государственной семейной политики, защиты экономических интересов детей, поддержки детей, оказавшихся в трудной жизненной ситуации, осуществления опеки и попечительства, профилактики социального сиротства;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предложений по вопросам предоставления мер социальной поддержки отдельным категориям граждан, социальной поддержки и создания условий для интеграции инвалидов в общество, формирования системы оказания мер социальной поддержки и реабилитации лиц, находящихся в трудной жизненной ситуации;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установления потребительской корзины и прожиточного минимума, совершенствования методических подходов к формированию потребительской корзины и оценке прожиточного минимума, снижения уровня бедности;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нормативных правовых актов и других предложений по вопросам реализации мер социальной защиты военнослужащих, приравненных к ним лиц и членов их семей, гражданского персонала, организации альтернативной гражданской службы;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нормативных правовых актов, разработанных в рамках реализации Федерального </w:t>
      </w:r>
      <w:hyperlink r:id="rId242" w:history="1">
        <w:r>
          <w:rPr>
            <w:rFonts w:ascii="Calibri" w:hAnsi="Calibri" w:cs="Calibri"/>
            <w:color w:val="0000FF"/>
          </w:rPr>
          <w:t>закона</w:t>
        </w:r>
      </w:hyperlink>
      <w:r>
        <w:rPr>
          <w:rFonts w:ascii="Calibri" w:hAnsi="Calibri" w:cs="Calibri"/>
        </w:rPr>
        <w:t xml:space="preserve"> "Об автономных учреждениях" и предложений по внесению изменений, предусматривающих дополнительные условия по ускорению практического внедрения законодательства об автономных учреждениях и в целом для продолжения работы по повышению эффективности использования бюджетных средств и предоставления государственных и муниципальных услуг автономными учреждениями.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основного мероприятия по разработке предложений по </w:t>
      </w:r>
      <w:r>
        <w:rPr>
          <w:rFonts w:ascii="Calibri" w:hAnsi="Calibri" w:cs="Calibri"/>
        </w:rPr>
        <w:lastRenderedPageBreak/>
        <w:t xml:space="preserve">совершенствованию и участию в реализации государственной политики в отдельных секторах экономики предусматривается проведение экспертизы проектов нормативных правовых актов с целью обеспечения устойчивого социально-экономического развития, диверсификации экономики и достижения приоритетов, установленных в </w:t>
      </w:r>
      <w:hyperlink r:id="rId243"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в том числе реализации положений Стратегии инновационного развития Российской Федерации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будет продолжена деятельность по реструктуризации бюджетной сети и оптимизации расходов на ее содержание, процессу перевода государственных (муниципальных) учреждений в бюджетные, автономные и казенные учреждения в рамках реализации Федерального </w:t>
      </w:r>
      <w:hyperlink r:id="rId244"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 внесению изменений в отдельные постановления Правительства Российской Федерации и другие подзаконные акты, направленные на выполнение бюджетными и автономными учреждениями государственного задания и его финансового обеспечения.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97" w:name="Par3472"/>
      <w:bookmarkEnd w:id="197"/>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подпрограммы предусматривается выполнение работ (оказание услуг) государственными бюджетными учреждениями по реализации основных профессиональных образовательных программ послевузовского профессионального образования (аспирантура, докторантура) и выполнению фундаментальных и прикладных научно-исследовательских работ, включенных в научные планы в установленном порядке. Прогноз сводных показателей государственных заданий представлен в </w:t>
      </w:r>
      <w:hyperlink w:anchor="Par9032" w:history="1">
        <w:r>
          <w:rPr>
            <w:rFonts w:ascii="Calibri" w:hAnsi="Calibri" w:cs="Calibri"/>
            <w:color w:val="0000FF"/>
          </w:rPr>
          <w:t>Приложении 5</w:t>
        </w:r>
      </w:hyperlink>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98" w:name="Par3477"/>
      <w:bookmarkEnd w:id="198"/>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реализации подпрограммы не предусмотрено.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199" w:name="Par3483"/>
      <w:bookmarkEnd w:id="199"/>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государственных корпораций, акционерных обществ с государственным участием, общественных, научных и иных организаций, а также внебюджетных фондов не предполагается. При этом предусмотренное подпрограммой внедрение инструмента государственных программ Российской Федерации позволит расширить участие организаций в реализации государственной политики и достижении стратегических целей социально-экономического развития и национальной безопасности.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00" w:name="Par3491"/>
      <w:bookmarkEnd w:id="200"/>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подпрограммы в 2013 - 2020 гг. составит 1 505 077,60 тыс. рублей (в текущих ценах). Финансирование будет производиться за счет средств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данного объема финансирования будет направлена на реализацию основного мероприятия "Научно-аналитическое обеспечение развития стратегического планирования и прогнозирования".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данного основного мероприятия планируется реализовать комплекс мероприятий, по итогам которых будет уточнены сценарные условия долгосрочного и среднесрочного прогнозов социально-экономического развития Российской Федерации, выработаны предложения по совершенствованию статистической базы для анализа и прогноза социально-экономического развития Российской Федерации, разработана научно-техническая продукция в сфере стратегического планирования и экономического развития и инновационной экономики, выработаны предложения по доработке государственных программ Российской Федерации, нормативной, правовой и методологической базы их разработки и реализации.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Остальная часть средств будет направлена на реализацию основного мероприятия "Разработка прогнозов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объединяет ряд мероприятий, в результате реализации которых будет проведен мониторинг социально-экономического развития Российской Федерации, разработаны сценарные условия социально-экономического развития Российской Федерации, по итогам которых будет разработан прогноз социально-экономического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других основных мероприятий подпрограммы предусматривается за счет бюджетных ассигнований на содержание центрального аппарата Минэкономразвития России, включаемых в непрограммную часть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01" w:name="Par3501"/>
      <w:bookmarkEnd w:id="201"/>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подвержена влиянию следующих рисков: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зависимость показателей социально-экономического развития Российской Федерации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мероприятий подпрограммы в части совершенствования методов прогнозирования социально-экономического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низкая степень заинтересованности субъектов Российской Федерации в участии в разработке и реализации государственных программ может привести к "усечению" целей и задач разрабатываемых государственных программ Российской Федерации к уровню целей и задач федеральных органов исполнительной власти, ответственных за их разработку. Данный риск может быть минимизирован в рамках реализации основного мероприятия "Развитие государственного стратегического планирования" при согласовании проектов государственных программ Российской Федерации Минэкономразвития России, а также в рамках реализации федерального закона "О государственном стратегическом планировании".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квалификации кадров экономических подразделений органов государственной власти в некоторых субъектах Российской Федерации может являться сдерживающим фактором для решения задач подпрограммы по реализации механизмов стратегического управления социально-экономическим развитием субъектов Российской Федерации. Вероятность проявления данного риска является средней, так как большинство субъектов Российской Федерации имеют значительный опыт апробации и внедрения механизмов управления и бюджетирования по результатам, социально-экономического планирования. Дальнейшая минимизация влияния данного фактора будет обеспечена за счет методической поддержки органов исполнительной власти субъектов Российской Федерации по вопросам внедрения механизмов стратегического управления социально-экономическим развитием в рамках реализации основного мероприятия 3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или затягивание выполнения федеральными органами исполнительной власти </w:t>
      </w:r>
      <w:hyperlink r:id="rId24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w:t>
      </w:r>
      <w:r>
        <w:rPr>
          <w:rFonts w:ascii="Calibri" w:hAnsi="Calibri" w:cs="Calibri"/>
        </w:rPr>
        <w:lastRenderedPageBreak/>
        <w:t>программ Российской Федерации". Существует вероятность, что данный фактор повлияет на сроки достижения заявленных результатов подпрограммы. Минимизация данного риска возможна путем реализации мероприятий подпрограммы по методическому обеспечению внедрения государственных программ Российской Федерации (оказанию методической поддержки федеральным органам исполнительной власти), а также на основе постоянного мониторинга степени готовности государственных программ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02" w:name="Par3510"/>
      <w:bookmarkEnd w:id="202"/>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официальной статистической информации"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03" w:name="Par3513"/>
      <w:bookmarkEnd w:id="203"/>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официальной статистической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"Экономическое развитие и инновационная экономика"</w:t>
      </w:r>
    </w:p>
    <w:p w:rsidR="008C77ED" w:rsidRDefault="008C77ED">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3"/>
        <w:gridCol w:w="245"/>
        <w:gridCol w:w="6453"/>
      </w:tblGrid>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Федерального плана 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Информатизация сбора, обработки и распространения официальной статистической информации</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выполненных в рамках реализации Федерального плана статистических работ,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ОЭСР),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 к общему числу показателей,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Единой межведомственной информационно-статистической системе (ЕМИСС) в сроки, не позднее установленных Федеральным планом статистических работ, в общем количестве показателей, данные по которым опубликованы в ЕМИСС,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работ Федерального плана статистических работ, показатели </w:t>
            </w:r>
            <w:r>
              <w:rPr>
                <w:rFonts w:ascii="Calibri" w:hAnsi="Calibri" w:cs="Calibri"/>
              </w:rPr>
              <w:lastRenderedPageBreak/>
              <w:t>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базовых таблиц "затраты-выпуск" за 2011 и 2016 гг., включая коэффициенты прямых и полных затрат, тыс.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валовым внутренним продуктом (ВВП), процентов. 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обновляемых программно-технических средств автоматизации информационно-вычислительной системы Росстата (ИВС Росстата) в связи с их физическим и моральным износом,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межпереписной период с применением выборочного метода, тыс.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характеризующих состояние сельского хозяйства в разрезе муниципальных образований (сельские и городские поселения), тыс. единиц</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реализуется с 2013 по 2020 гг. Этапы ее реализации не предусмотрены.</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в 2013 - 2020 годах (за счет средств федерального бюджета) составит 131 493 517,00 тыс. рублей,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- 11 970 291,20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- 12 235 112,70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- 12 150 413,80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- 24 457 711,50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- 14 687 111,90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- 14 887 129,20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- 15 078 579,70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- 26 027 167,00 тыс. рублей</w:t>
            </w:r>
          </w:p>
        </w:tc>
      </w:tr>
      <w:tr w:rsidR="00C65754">
        <w:tblPrEx>
          <w:tblCellMar>
            <w:top w:w="0" w:type="dxa"/>
            <w:bottom w:w="0" w:type="dxa"/>
          </w:tblCellMar>
        </w:tblPrEx>
        <w:trPr>
          <w:tblCellSpacing w:w="5" w:type="nil"/>
        </w:trPr>
        <w:tc>
          <w:tcPr>
            <w:tcW w:w="29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45"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Полнота, достоверность, научная обоснованность, своевременность предоставления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открытости и доступности статистической информации и методологии ее формирования.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нагрузки на респондентов.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таблиц "затраты - выпуск". Официальное опубликование и распространение итогов Всероссийской переписи населения 2010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выборочного статистического наблюдения "Социально-демографическое обследование (микроперепись населения) 2015 года", подведение и опубликование его итогов.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Подготовка и проведение Всероссийской сельскохозяйственной переписи 2016 года, подведение и официальное опубликование ее итогов.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Подготовка и проведение Всероссийской переписи населения 2020 года (включая проведение в 2018 году пробной переписи населения).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и приоритетных национальных проектов (увеличение в 2,6 раза).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Прирост объема информации в системе открытого доступа на сайте Росстата в сети Интернет</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04" w:name="Par3575"/>
      <w:bookmarkEnd w:id="204"/>
      <w:r>
        <w:rPr>
          <w:rFonts w:ascii="Calibri" w:hAnsi="Calibri" w:cs="Calibri"/>
        </w:rPr>
        <w:t>I. Характеристика сферы реализации подпрограммы,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указанной сфере и прогноз ее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социально-экономическое обустройство и развитие государства, деятельность органов государственной власти неразрывно связаны с деятельностью государственной статистики - важнейшей составляющей информационного обеспечения в масштабе всей страны.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статистика ориентирована на потребности различных групп пользователей, среди которых органы государственной власти, бизнес-сообщество, научные, общественные организации, население. Охватывая многие аспекты жизни общества, государственная статистика является необходимым элементом его развития, экономической стабильности и дальнейшей интеграции России в мировое сообщество.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два десятилетия система государственной статистики была кардинально реформирована. Этому способствовало успешное выполнение трех долгосрочных федеральных целевых программ. Результатом этих программ стало появление новой, базирующейся на современной технологической базе, системы статистического учета.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рыночной экономике статистика является единственно возможным средством для ориентации и практического анализа в области экономического и социального развития 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Возрастающая потребность в статистической информации со стороны органов государственной власти, граждан и организаций, совершенствование программных средств электронной обработки и хранения данных, а также повышение требований к достоверности распространяемой статистической информации обуславливают необходимость совершенствования информационной инфраструктуры государственной статистики, установления диалога с пользователями статистических данных.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перед Росстатом стоят проблемы, связанные 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отражением реализации приоритетов социально-экономического развития Российской Федерации, определенных в указах Президента Российской Федерации по вопросам реализации государственной политики в области экономики и социальной сферы, в основных направлениях деятельности Правительства Российской Федерации, в Концепции долгосрочного социально-экономического развития Российской Федерации на период до 2020 года, а также в Стратегии инновационного развития Российской Федерации на период до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деятельности федеральных органов исполнительной власти по повышению результативности бюджетных расходов;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повышением качества и достоверности, научной обоснованности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обязательств перед международными организациями и нерешенностью ряда методологических проблем статистики, возникающих при вхождении России в мировое сообщество, особенно в условиях вступления России в ОЭСР и ВТО;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межведомственного взаимодействия с федеральными органами исполнительной власти и другими органами в области официального статистического учета;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развитием технологии сбора, обработки и распространения данных с использованием современных информационно-телекоммуникационных систем, Интернет-технологий и хранилищ данных, предоставлением на основе информационной и телекоммуникационной инфраструктуры Росстата качественных услуг и обеспечением высокого уровня доступности официальной статистической информации для органов государственного управления 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05" w:name="Par3591"/>
      <w:bookmarkEnd w:id="205"/>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06" w:name="Par3597"/>
      <w:bookmarkEnd w:id="206"/>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Концепцией долгосрочного социально-экономического развития Российской Федерации на период до 2020 года определены пути и способы обеспечения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 Приоритетным направлением при этом является создание информационной базы, позволяющей отслеживать происходящие в этих сферах преобразования, включая развитие инфраструктуры информационного обеспечения, повышение информационной открытости и прозрачности.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07" w:name="Par3602"/>
      <w:bookmarkEnd w:id="207"/>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будет обеспечиваться решением следующих задач:</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Федерального плана статистических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проведение и подведение итогов всероссийских переписей, специализированных обследований и наблюдений, разработка базовых таблиц "затраты-выпуск";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информатизация сбора, обработки и распространения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цели и решения задач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работ, выполненных в рамках реализации Федерального плана статистических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международно-признанных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ОЭСР);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показателей, данные по которым опубликованы в Единой межведомственной информационно-статистической системе (далее - ЕМИСС) в сроки, не позднее установленных Федеральным планом статистических работ, в общем количестве показателей, данные по которым опубликованы в ЕМИСС;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показателей базовых таблиц "затраты-выпуск" за 2011 и 2016 годы, включая коэффициенты прямых и полных затрат;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статистическое расхождение между произведенным и использованным ВВП;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обновляемых программно-технических средств автоматизации ИВС Росстата в связи с их физическим и моральным износом;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межпереписной период с применением выборочного метода;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показателей, характеризующих состояние сельского хозяйства в разрезе </w:t>
      </w:r>
      <w:r>
        <w:rPr>
          <w:rFonts w:ascii="Calibri" w:hAnsi="Calibri" w:cs="Calibri"/>
        </w:rPr>
        <w:lastRenderedPageBreak/>
        <w:t>муниципальных образований (сельские и городские поселения).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08" w:name="Par3625"/>
      <w:bookmarkEnd w:id="208"/>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позволит в период до 2020 года выполнить следующие крупномасштабные статистические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опубликование и распространение итогов Всероссийской переписи населения 2010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выборочного статистического наблюдения "Социально-демографическое обследование (микроперепись населения) 2015 года", подведение и официальное опубликование его итогов;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переписи населения 2020 года (включая проведение в 2018 году пробной переписи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Всероссийской сельскохозяйственной переписи 2016 года, подведение и официальное опубликование ее итогов;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базовых таблиц "затраты-выпуск" за 2011 и 2016 годы на основе современных классификаторов видов экономической деятельности и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сплошного федерального статистического наблюдения за деятельностью субъектов малого и среднего предпринимательства за 2015 год;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национальных счетов (разработка счетов по подсистемам сектора нефинансовых корпораций, по государственному сектору, по подсекторам сектора "государственное управление", разработка баланса активов и пассивов);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статистическую практику широко используемого в международной практике альтернативного метода рыночной оценки основного капитала с использованием информации об инвестициях в основной капитал, средних сроках службы основного капитала, закономерностях его фактического выбытия, износа и потребления, уровне его использования;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на базе ведомственных информационных ресурсов единого государственного интегрированного ресурса и обеспечение возможности оперативного доступа к нему заинтересованных пользователей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статистической деятельности является область международных сопоставлений и обеспечение участия Российской Федерации, начиная с 2011 года, один раз в три года в раундах Программ международных сопоставлений. Этот глобальный статистический проект предназначен для получения сравнимых данных значительного числа стран мира о валовом внутреннем продукте и паритетах покупательной способности валют, которые необходимы для измерения и сопоставления экономического развития стран на современном этапе.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социальной статистики будет осуществлено совершенствование расчета индекса стоимости жизни, статистики бедности и уровня жизни населения, оценки социальной защиты населения, создание системы федеральных статистических наблюдений по социально-демографическим проблемам, демографическим процессам (рождаемости, смертности, миграции), формирование статистической информации о повышении средней заработной платы отдельных категорий работников социальной сферы и науки, разработка системы показателей, характеризующих доступность и качество оказания медицинской помощи, развитие статистики инвалидности, межрегионального перемещения рабочей силы, инклюзивного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развитие отдельных отраслей статистики, в том числе статистики: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энергосбережения и повышения энергоэффективности, охраны окружающей среды (включая агроэкологическую статистику);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демографии и деловой активности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взаимной торговли Российской Федерации со странами-членами таможенного союза;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информационно-коммуникационных технологий для развития ключевых сфер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процессов глобализации научных исследований и разработок, интеграции науки и образования;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детального и более полного определения приоритетных направлений работы </w:t>
      </w:r>
      <w:r>
        <w:rPr>
          <w:rFonts w:ascii="Calibri" w:hAnsi="Calibri" w:cs="Calibri"/>
        </w:rPr>
        <w:lastRenderedPageBreak/>
        <w:t>необходимо разработать концепцию долгосрочного развития системы государственной статистики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подпрограммы заложен принцип "управления результатами". В ней содержатся целевые индикаторы, измеряемые количественные показатели решения поставленных задач и хода реализации подпрограммы по годам.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09" w:name="Par3650"/>
      <w:bookmarkEnd w:id="209"/>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2013 - 2020 годы. Этапы ее реализации не предусмотрены.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10" w:name="Par3654"/>
      <w:bookmarkEnd w:id="210"/>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1" w:name="Par3656"/>
      <w:bookmarkEnd w:id="211"/>
      <w:r>
        <w:rPr>
          <w:rFonts w:ascii="Calibri" w:hAnsi="Calibri" w:cs="Calibri"/>
        </w:rPr>
        <w:t>1. Реализация Федерального плана статистических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в установленном порядке официальной статистической методологии для проведения федеральных статистических наблюдений и обеспечение ее соответствия международным стандартам и принципам официальной статистики;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в статистическую практику общероссийских классификаторов технико-экономической и социальной информации в установленной сфере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широкого доступа к статистическим данным, прозрачности методологии, обратной связи с пользователями;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информационного обмена с международными организациями и статистическими службами других стран.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реализации данного основного мероприятия будет являться формирование полной и качественной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представление ее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2" w:name="Par3666"/>
      <w:bookmarkEnd w:id="212"/>
      <w:r>
        <w:rPr>
          <w:rFonts w:ascii="Calibri" w:hAnsi="Calibri" w:cs="Calibri"/>
        </w:rPr>
        <w:t>2. Подготовка, проведение и подведение итогов всероссийских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переписей населения (микропереписей)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 Всероссийской переписи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очередной Всероссийской переписи населения предполагается в 2020 году. Кроме того, в 2018 году предусматривается проведение пробной переписи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перепись населения является основным источником формирования федеральных информационных ресурсов, касающихся численности и структуры населения, его распределения по территории Российской Федерации 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Всероссийской переписи населения отражают тенденции демографического развития России на ближайшие годы, что позволяет уточнять сценарные условия для разработки демографических прогнозов. Они необходимы для составления федерального и консолидированного бюджетов Российской Федерации, для организации межбюджетных отношений в условиях реформы местного самоуправления.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политики Российской Федерации в области народонаселения требует разнообразной статистической информации о социально-демографических характеристиках населения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информационного обеспечения реализации </w:t>
      </w:r>
      <w:hyperlink r:id="rId247"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для уточнения параметров воспроизводства населения и получения информации по наиболее актуальным проблемам демографического развития в области репродуктивного поведения населения, здравоохранения, укрепления института семьи, условий качества жизни, социальной адаптации и интеграции мигрантов необходимо проведение выборочного статистического наблюдения "Социально-демографическое обследование (микроперепись населения) 2015 года", подведение и опубликование ее итогов.</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3" w:name="Par3676"/>
      <w:bookmarkEnd w:id="213"/>
      <w:r>
        <w:rPr>
          <w:rFonts w:ascii="Calibri" w:hAnsi="Calibri" w:cs="Calibri"/>
        </w:rPr>
        <w:t>3. Подготовка, проведение и подведение итогов всероссийских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переписей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основное мероприятие реализуется 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"О Всероссийской сельскохозяйственной переписи".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будет проведена работа по подготовке, проведению Всероссийской сельскохозяйственной переписи 2016 года, подведению и официальному опубликованию ее итогов.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сельскохозяйственная перепись является одним из источников формирования федеральных информационных ресурсов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Всероссийской сельскохозяйственной переписи позволит получить статистическую информацию, необходимую для разработки перспективных направлений развития агропромышленного комплекса, сельских территорий страны и оценки продовольственной безопасности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сельскохозяйственная перепись является основой организации сельскохозяйственной статистики и необходимым условием обеспечения ее достоверности, так как только на ее основе возможны уточнения генеральных совокупностей сельскохозяйственных производителей и формирование новых выборочных совокупностей.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4" w:name="Par3685"/>
      <w:bookmarkEnd w:id="214"/>
      <w:r>
        <w:rPr>
          <w:rFonts w:ascii="Calibri" w:hAnsi="Calibri" w:cs="Calibri"/>
        </w:rPr>
        <w:t>4. Разработка базовых таблиц "затраты - выпуск"</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подготовка, проведение и подведение итогов сплошного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статистического наблюдения за деятельностью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малого и среднего предпринимательства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разработку базовых таблиц "затраты - выпуск", а также на подготовку,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таблицы "затраты - выпуск", являясь составной частью системы национальных счетов, представляют собой интегрированную систему макроэкономических показателей, всесторонне характеризующих структуру экономики в детализированном разрезе видов экономической деятельности и продукции, и являются единственным инструментом, позволяющим на основе межотраслевых связей осуществлять сценарные расчеты развития экономики в результате изменения различных факторов.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результате построения указанных таблиц, позволит отслеживать процессы производства на уровне детализированных групп продуктов по видам экономической деятельности и целевым направлениям их использования, образования доходов участников производства по видам экономической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таблицы "затраты-выпуск" лежат в основе получения сбалансированных и более точных оценок валового внутреннего продукта. Для международных организаций регулярность </w:t>
      </w:r>
      <w:r>
        <w:rPr>
          <w:rFonts w:ascii="Calibri" w:hAnsi="Calibri" w:cs="Calibri"/>
        </w:rPr>
        <w:lastRenderedPageBreak/>
        <w:t>составления и степень детализации базовых таблиц "затраты - выпуск" являются индикаторами качества расчета важнейших макроэкономических показателей.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5" w:name="Par3695"/>
      <w:bookmarkEnd w:id="215"/>
      <w:r>
        <w:rPr>
          <w:rFonts w:ascii="Calibri" w:hAnsi="Calibri" w:cs="Calibri"/>
        </w:rPr>
        <w:t>5. Организация системы федеральных статистических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наблюдений по социально-демографическим проблемам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мониторинга экономических потерь от смертности,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заболеваемости и инвалидизации населения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получение более широкого круга взаимосвязанных социальных (количественных и качественных) характеристик по различным демографическим и социально-экономическим группам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государственная статистика располагает большим объемом информации социальной направленности. Вместе с тем при значительном и многостороннем охвате эти показатели носят, как правило, обобщенный характер.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увеличить объем информации, позволяющей отражать реальный уровень жизни отдельных групп и слоев населения в совокупности с проявлением форм социальной исключенности, наступающей из-за отсутствия полноценного доступа к рынку труда, услугам образования и здравоохранения, с распространенностью форм неоплаченного труда, с наличием экологических и поведенческих факторов, наносящих ущерб рождаемости и здоровью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задача может быть решена посредством организации системы федеральных статистических наблюдений по социально-демографическим проблемам, основанной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расширении тематики федеральных статистических наблюдений с охватом наиболее приоритетных сфер развития социальной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выборочных опросах представителей различных групп и слоев населения в домохозяйствах, отобранных методом случайного отбора;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внедрении государственной статистикой устойчивой системы сбора данных, которая позволит поддерживать непрерывное формирование и актуализацию информационной базы социальных показателей.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6" w:name="Par3708"/>
      <w:bookmarkEnd w:id="216"/>
      <w:r>
        <w:rPr>
          <w:rFonts w:ascii="Calibri" w:hAnsi="Calibri" w:cs="Calibri"/>
        </w:rPr>
        <w:t>6. Организация и проведение выборочных обследований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аспектов занятости населения и оплаты труда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направлено на организацию и проведение выборочных обследований домашних хозяйств по вопросам экономической активности, занятости, безработицы, а также на организацию и проведение федерального статистического наблюдения за численностью и заработной платой отдельных (целевых) категорий работников социальной сферы.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указанных выборочных обследований, которые являются единственным источником информации о качественном составе рабочей силы, структуре фактической безработицы, способах поиска работы, продолжительности периода безработицы, структуре экономически неактивного населения, и формирование на основе их итогов официальной статистической информации осуществляется в соответствии с установленными обязательствами Российской Федерации по выполнению </w:t>
      </w:r>
      <w:hyperlink r:id="rId249" w:history="1">
        <w:r>
          <w:rPr>
            <w:rFonts w:ascii="Calibri" w:hAnsi="Calibri" w:cs="Calibri"/>
            <w:color w:val="0000FF"/>
          </w:rPr>
          <w:t>Конвенции</w:t>
        </w:r>
      </w:hyperlink>
      <w:r>
        <w:rPr>
          <w:rFonts w:ascii="Calibri" w:hAnsi="Calibri" w:cs="Calibri"/>
        </w:rPr>
        <w:t xml:space="preserve"> Международной организации труда N 160 "О статистике труда", ратифицированной Российской Федерацией 23 мая 1990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работы по реализации государственной социальной политики организовывается федеральное статистическое наблюдение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5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7" w:name="Par3715"/>
      <w:bookmarkEnd w:id="217"/>
      <w:r>
        <w:rPr>
          <w:rFonts w:ascii="Calibri" w:hAnsi="Calibri" w:cs="Calibri"/>
        </w:rPr>
        <w:t>7. Информатизация сбора, обработки и распространения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официальной статистической информации</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ИВС Росстата, построенная как трехуровневая система (муниципальные образования - субъекты Российской Федерации - федеральный уровень), функционирует на всей территории Российской Федерации и обеспечивает сбор, обработку и формирование официальной статистической информации. В ее состав входят более 36 тыс. автоматизированных рабочих мест, около 2 тыс. серверов, более 6,5 тыс. единиц сетевого оборудования и периферийных устройств.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программно-технических средств ИВС Росстата оценивается в 7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предусматривается проведение работ по: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и развитию ИВС Росстата (сопровождение баз данных, Интернет-сайтов, закупка лицензий на программное обеспечение, доработка и разработка новых программных обеспечений, полномасштабное внедрение системы сбора статистической и бухгалтерской отчетности в электронном виде, организация информационного обмена с национальными и международными организациями с использованием международных стандартов);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морально устаревших и физически изношенных технических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функционированию корпоративной сети передачи данных в штатном режиме, повышению ее отказоустойчивости и скорости передачи данных между компонентами ИВС Росстата;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организационно-методическому сопровождению ЕМИСС;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информационной безопасности системы Росстата.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18" w:name="Par3727"/>
      <w:bookmarkEnd w:id="218"/>
      <w:r>
        <w:rPr>
          <w:rFonts w:ascii="Calibri" w:hAnsi="Calibri" w:cs="Calibri"/>
        </w:rPr>
        <w:t>8. Реализация проекта Международного банка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и развития "Развитие системы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статистики - 2"</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призвана способствовать развитию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компонентами проекта "Развитие системы государственной статистики - 2"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методологии статистики, которая должна обеспечить дальнейшее развитие системы национальных счетов, гармонизированной с международными стандартами, включая внедрение международно-сопоставимых классификаторов, разработку счетов институциональных секторов, сателлитных счетов для отрасли туризма и защиты окружающей среды, улучшение качества оценок в постоянных ценах путем совершенствования индексов цен и использования метода двойного дефлятирования;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технологий и структуры сбора, обработки и распространения статистических данных;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социальной статистики;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данным проектом.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19" w:name="Par3739"/>
      <w:bookmarkEnd w:id="219"/>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меры по совершенствованию правового регулирования вопросов развития государственной статистики, включающие: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актуализацию Федерального </w:t>
      </w:r>
      <w:hyperlink r:id="rId251"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касающегося организации и проведения всероссийских переписей населения, в части введения обязательного участия граждан в переписи населения и дополнительных методов сбора сведений о населении с использованием компьютерных сетей;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и проведению Всероссийской переписи населения 2020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законодательства Российской Федерации, касающегося организации и </w:t>
      </w:r>
      <w:r>
        <w:rPr>
          <w:rFonts w:ascii="Calibri" w:hAnsi="Calibri" w:cs="Calibri"/>
        </w:rPr>
        <w:lastRenderedPageBreak/>
        <w:t>проведения всероссийских сельскохозяйственных переписей;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по подготовке, проведению Всероссийской сельскохозяйственной переписи 2016 года, подведению ее итогов и их официальному опубликованию.</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0" w:name="Par3748"/>
      <w:bookmarkEnd w:id="220"/>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федеральными государственными учреждениями не предусматривается.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1" w:name="Par3753"/>
      <w:bookmarkEnd w:id="221"/>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разработке и реализации подпрограммы не предполагается.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2" w:name="Par3759"/>
      <w:bookmarkEnd w:id="222"/>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3" w:name="Par3767"/>
      <w:bookmarkEnd w:id="223"/>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финансируются за счет средств федерального бюджета. Объем финансирования подпрограммы в 2013 - 2020 гг. составляет 131 493 517,00 тыс. рублей в пределах действующих обязательств.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подпрограммы в большой степени определяется необходимостью решения Росстатом задач по формированию официальной статистической информации в соответствии с Федеральным планом статистических работ и совершенствованию официальной статистической методологии. На реализацию этих задач направляется более 80 процентов бюджетных ассигнований от общего объема финансирования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выделяемые на реализацию подпрограммы, предполагается также направить 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 официальное опубликование итогов Всероссийской переписи населения 2010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материально-техническое обеспечение и опубликование итогов выборочного статистического наблюдения "Социально-демографическое обследование (микроперепись населения) 2015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Всероссийской переписи населения 2020 года, включая проведение в 2018 году пробной переписи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передаваемых органам исполнительной власти субъектов Российской Федерации, методологическое и материально-техническое обеспечение, частичный наем персонала для проведения Всероссийской сельскохозяйственной переписи 2016 года, подведение и официальное опубликование ее итогов;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подготовке и проведению сплошного статистического наблюдения за </w:t>
      </w:r>
      <w:r>
        <w:rPr>
          <w:rFonts w:ascii="Calibri" w:hAnsi="Calibri" w:cs="Calibri"/>
        </w:rPr>
        <w:lastRenderedPageBreak/>
        <w:t>деятельностью субъектов среднего и малого предпринимательства по итогам за 2015 год и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за 2016 год;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интеграцию официальной статистической информации, разрабатываемой органами государственной статистики и другими экономическими ведомствами, обеспечивающей разработку базовых таблиц "затраты - выпуск";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выборочных ежемесячных обследований домашних хозяйств по вопросам экономической активности, занятости и безработицы;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системы федеральных статистических наблюдений по социально-демографическим проблемам и мониторинг экономических потерь от смертности, заболеваемости и инвалидизации населения.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элементов, требующих финансирования в рамках подпрограммы, является бесперебойное функционирование ИВС Росстата, обеспечивающей сбор, обработку и формирование официальной статистической информации.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объем финансирования подпрограммы также входят расходы, предусмотренные на содержание центрального аппарата Росстата и его территориальных органов.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4" w:name="Par3784"/>
      <w:bookmarkEnd w:id="224"/>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реализации подпрограммы оцениваются вероятностью достижения целевых индикаторов и показателей и возможными последствиями их наступления. При этом выделяются две группы факторов риска, которые могут в дальнейшем оказать влияние на достижение показателей - внутренние и внешние.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факторам риска относятся производственные и технологические сбои, наступающие вследствие одновременной реализации нескольких крупномасштабных проектов. Планирование государственной статистической деятельности позволяет максимально исключить возможность такой ситуации.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внешним рискам, определяющим достижение поставленной цели и соответствующих показателей, относятся обострение социально-экономических проблем в стране, возникновение кризисных ситуаций, которые могут привести к серьезным трудностям в установлении контактов и сборе информации от респондентов, а также финансировании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риски реализации подпрограммы зависят не только от Росстата, но и от работы других федеральных органов исполнительной власти.</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25" w:name="Par3792"/>
      <w:bookmarkEnd w:id="225"/>
      <w:r>
        <w:rPr>
          <w:rFonts w:ascii="Calibri" w:hAnsi="Calibri" w:cs="Calibri"/>
        </w:rPr>
        <w:t>ПОДПРОГРАММА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развитие инновационного центра "Сколково"</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6" w:name="Par3795"/>
      <w:bookmarkEnd w:id="226"/>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и развитие инновационного центра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"Сколково" 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"Экономическое развитие 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16"/>
        <w:gridCol w:w="280"/>
        <w:gridCol w:w="6425"/>
      </w:tblGrid>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таможенная служба некоммерческая организация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обеспечение функционирования инновационного центра "Сколково" для развития исследований, разработок и </w:t>
            </w:r>
            <w:r>
              <w:rPr>
                <w:rFonts w:ascii="Calibri" w:hAnsi="Calibri" w:cs="Calibri"/>
              </w:rPr>
              <w:lastRenderedPageBreak/>
              <w:t>коммерциализации их результатов по приоритетным направлениям</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Создание и развитие инновационной среды на территории инновационного центра "Сколково",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Развитие инженерно-предпринимательского института (Сколтех), призванного стать моделью нового российского технологического вуза в части обучения, создания знаний и продвижения технологий для решения ключевых научных, технологических и инновационных задач, как в России, так и во всем мире.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Создание инновационного центра, формирующего исследовательскую и социальную инфраструктуру, привлекательную для постоянного притока талантов в нее и поддержанию благоприятных условий для развития инноваций и коммерциализации</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Количество патентов, полученных на территории иностранных государств, включая США, Европу, Японию.</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Объем частных инвестиций, привлеченных в инновационную экосистему "Сколково", включая инвестиции в проекты компаний-участников и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Выручка компаний - участников проекта "Сколково", полученная от результатов исследовательской деятельности (накопленным итогом).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Число публикаций в журналах, индексируемых в "Сеть науки" (на 1 исследователя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Доля выпускников Сколтеха, вовлеченных в инновационную деятельность.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 Интегральный вклад проекта "Сколково" в экономику Российской Федерации (накопленным итогом).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Коэффициент пригодности инновационного центра для жизни и работы (Коэффициент счастья).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9. Сокращение средних сроков коммерциализации проектов участников проекта "Сколково".</w:t>
            </w:r>
          </w:p>
        </w:tc>
      </w:tr>
      <w:tr w:rsidR="00C65754">
        <w:tblPrEx>
          <w:tblCellMar>
            <w:top w:w="0" w:type="dxa"/>
            <w:bottom w:w="0" w:type="dxa"/>
          </w:tblCellMar>
        </w:tblPrEx>
        <w:trPr>
          <w:tblCellSpacing w:w="5" w:type="nil"/>
        </w:trPr>
        <w:tc>
          <w:tcPr>
            <w:tcW w:w="2916"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80" w:type="dxa"/>
            <w:vMerge w:val="restart"/>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действующих расходных обязательств по финансированию подпрограммы в 2013 - 2020 годах (за счет средств федерального бюджета) составляет 125 213 051 тыс. руб.,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году - 24 320 000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году - 22 950 000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2015 году - 18 269 923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2016 году - 14 733 958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- 11 466 756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году - 11 462 230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- 10 826 020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- 11 184 164 тыс. рублей</w:t>
            </w:r>
          </w:p>
        </w:tc>
      </w:tr>
      <w:tr w:rsidR="00C65754">
        <w:tblPrEx>
          <w:tblCellMar>
            <w:top w:w="0" w:type="dxa"/>
            <w:bottom w:w="0" w:type="dxa"/>
          </w:tblCellMar>
        </w:tblPrEx>
        <w:trPr>
          <w:tblCellSpacing w:w="5" w:type="nil"/>
        </w:trPr>
        <w:tc>
          <w:tcPr>
            <w:tcW w:w="291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280"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Для выполнения целей подпрограммы требуются дополнительные ресурсы в размере 10 401 025 тыс. руб., в том числе 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2017 году - 2 147 321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2018 году - 2 698 677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2019 году - 2 751 091 тыс.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году - 2 803 936 тыс. рублей</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C65754">
        <w:tblPrEx>
          <w:tblCellMar>
            <w:top w:w="0" w:type="dxa"/>
            <w:bottom w:w="0" w:type="dxa"/>
          </w:tblCellMar>
        </w:tblPrEx>
        <w:trPr>
          <w:tblCellSpacing w:w="5" w:type="nil"/>
        </w:trPr>
        <w:tc>
          <w:tcPr>
            <w:tcW w:w="29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80"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4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Созданная инновационная экосистема будет способствовать созданию интеллектуальной собственности и коммерциализации результатов исследований. Возрастет количество заявок на государственную регистрацию объектов интеллектуальной собственности, поданных компаниями - участниками проекта "Сколково", со 159 заявок в 2012 году до 350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 Увеличение выручки компаний - участников проекта "Сколково", полученной от результатов исследовательской деятельности, с 1,2 млрд. рублей в 2012 году до 100 млрд. рублей в 2020 году (накопленным итогом). Средние сроки коммерциализации проектов участников проекта "Сколково" к 2020 году сократятся на 20 процентов относительно текущих значений. Объем внешнего финансирования, привлеченного для реализации проектов участников проекта "Сколково", и Сколтех за период с 2013 по 2020 год составит более 110 млрд. руб. (накопленным итогом), что сопоставимо по объемам с аналогичным показателем ведущих инновационных центров. К 2020 году Сколтех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слушателей PhD программ. Количество выпускников составит не менее 1000 человек. 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построенных за счет средств федерального бюджета - 403 тыс. кв. м</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7" w:name="Par3854"/>
      <w:bookmarkEnd w:id="227"/>
      <w:r>
        <w:rPr>
          <w:rFonts w:ascii="Calibri" w:hAnsi="Calibri" w:cs="Calibri"/>
        </w:rPr>
        <w:t>I. Характеристика сферы реализации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описание основных проблем в указанной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научно-технической, инновационной составляющей экономики - науки, образования, наукоемких отраслей, технологий - является важнейшим фактором формирования центров силы, определяет границы между богатыми и бедными странами, создает основу динамичного экономического роста. Развернувшиеся процессы глобализации привели к обострению технологического соперничества. Залогом успешного развития является постоянное инновационное обновление.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случайно в последние годы в различных странах мира основной целью общеэкономических программ стало именно развитие научно-технического и инновационного потенциала, создание и развитие национальных инновационных систем.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системного подхода при формировании инновационной государственной политики в настоящее время приобрело первостепенное значение в государствах, стремящихся к устойчивому экономическому росту.</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Указом</w:t>
        </w:r>
      </w:hyperlink>
      <w:r>
        <w:rPr>
          <w:rFonts w:ascii="Calibri" w:hAnsi="Calibri" w:cs="Calibri"/>
        </w:rPr>
        <w:t xml:space="preserve"> Президента Российской Федерации от 18 июня 2012 г. N 878 в целях содействия модернизации экономики и инновационному развитию России принято решение о создании при Президенте Российской Федерации Совета по модернизации экономики и инновационному развитию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послании Президента Российской Федерации Федеральному Собранию Российской Федерации 12 ноября 2009 г. впервые было заявлено о необходимости создания современного технологического центра по примеру Силиконовой долины и других ведущих зарубежных инновационных центров &lt;1&gt;.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"Наконец, надо завершить разработку предложений по созданию в России мощного центра исследований и разработок, который был бы сфокусирован на поддержку всех приоритетных направлений, именно всех направлений. Речь идет о создании современного технологического центра, если хотите, по примеру Силиконовой долины и других подобных зарубежных центров. Там будут формироваться условия, привлекательные для работы ведущих ученых, инженеров, конструкторов, программистов, менеджеров и финансистов. И создаваться новые конкурентоспособные на мировом рынке технологии", полный текст стенограммы доступен по адресу http://www.kremlin.ru/transcripts/5979.</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дальнейшей работы по созданию инновационного центра "Сколково" были определены распоряжениями Президента Российской Федерации от 31 декабря 2009 г. </w:t>
      </w:r>
      <w:hyperlink r:id="rId253" w:history="1">
        <w:r>
          <w:rPr>
            <w:rFonts w:ascii="Calibri" w:hAnsi="Calibri" w:cs="Calibri"/>
            <w:color w:val="0000FF"/>
          </w:rPr>
          <w:t>N 889-рп</w:t>
        </w:r>
      </w:hyperlink>
      <w:r>
        <w:rPr>
          <w:rFonts w:ascii="Calibri" w:hAnsi="Calibri" w:cs="Calibri"/>
        </w:rPr>
        <w:t xml:space="preserve"> "О рабочей группе по разработке проекта создания территориально обособленного комплекса для развития исследований и разработок и коммерциализации их результатов" и от 2 июля 2010 г. </w:t>
      </w:r>
      <w:hyperlink r:id="rId254" w:history="1">
        <w:r>
          <w:rPr>
            <w:rFonts w:ascii="Calibri" w:hAnsi="Calibri" w:cs="Calibri"/>
            <w:color w:val="0000FF"/>
          </w:rPr>
          <w:t>N 446-рп</w:t>
        </w:r>
      </w:hyperlink>
      <w:r>
        <w:rPr>
          <w:rFonts w:ascii="Calibri" w:hAnsi="Calibri" w:cs="Calibri"/>
        </w:rPr>
        <w:t xml:space="preserve"> "О создании и обеспечении функционирования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55" w:history="1">
        <w:r>
          <w:rPr>
            <w:rFonts w:ascii="Calibri" w:hAnsi="Calibri" w:cs="Calibri"/>
            <w:color w:val="0000FF"/>
          </w:rPr>
          <w:t>закон</w:t>
        </w:r>
      </w:hyperlink>
      <w:r>
        <w:rPr>
          <w:rFonts w:ascii="Calibri" w:hAnsi="Calibri" w:cs="Calibri"/>
        </w:rPr>
        <w:t xml:space="preserve"> от 28 сентября 2010 г. N 244-ФЗ "Об инновационном центре "Сколково" определил цели и задачи инновационного центра "Сколково", условия его создания и функционирования.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центр "Сколково" - это, прежде всего, среда для коммерциализации. В рамках инновационного центра будут созданы условия для формирования и развития инновационных стартапов, в полной мере реализованы механизмы коммерциализации, а также собраны все необходимые элементы для ускорения процессов коммерциализации идей: от поиска источников финансирования, предоставления необходимого оборудования до помощи в поиске партнеров, рынков, технологических цепочек.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инновационного центра является формирование на территории Российской Федерации благоприятной среды для воспроизводства и развития инновационных процессов. В "Сколково" создается самовоспроизводящаяся система "человек-знание", устраняющая разрыв между новыми знаниями, обеспечивающая их тиражирование по всему миру и их использование на благо людей.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Инновационный центр "Сколково" консолидирует наиболее интересные, перспективные идеи ученых, исследователей, работающих на расширение границ технологий по пяти ключевым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энергоэффективность и энергосбережение, в том числе разработка инновационных энергетических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стратегические компьютерные технологии и программное обеспечение;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технологии в области разработки оборудования, лекарственных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космические технологии, прежде всего в области телекоммуникаций и навигационных систем (в том числе создание соответствующей наземной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ядерные технологии.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принципам деятельности инновационного центра "Сколково" относятся: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частно-государственное партнерство - не менее 50 процентов затрат на создание инновационного центра планируется привлечь из частных источников;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направленность - деятельность инновационного центра "Сколково" направлена на поддержку исследовательских проектов участников "Сколково". При этом сам центр не участвует в капитале участников и, соответственно, не получает прибыль от их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 инновационный центр "Сколково" открыт для взаимодействия с любыми российскими и зарубежными структурами, целью которого станет создание инновационной среды, благоприятной для исследовательской деятельности и деятельности по коммерциализации проектов компаний -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компетентность - инновационный центр "Сколково" привлекает к работе широкий круг экспертов высокой квалификации - ведущих российских и зарубежных ученых, специалистов и консультантов (юридических и физических лиц) - для выполнения научно-технической, инвестиционной, юридической и иных экспертиз;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независимость - инновационный центр "Сколково" независим в определении проблематик исследований, правил осуществления исследовательской деятельности и иных правил, регулирующих взаимоотношения субъектов на территории инновационного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государственных интересов - в сфере разработки инновационных технологий инновационный центр "Сколково" действует в интересах Российской Федерации, является одним из инструментов реализации государственной политики, направленной на развитие новых технологий в России и, в первую очередь, на коммерциализацию 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реализации своей миссии инновационная экосистема "Сколково" должна стать саморазвивающейся, иными словами, отвечать следующим требованиям: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децентрализованной и обеспечить баланс интересов всех задействованных сторон;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обладать способностью к самоактуализации;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элементы экосистемы должны быть интегрированы между собой;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гибкой;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отвечать требованиям открытости и информационной прозрачности;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положительную отдачу от инвестиций.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256" w:history="1">
        <w:r>
          <w:rPr>
            <w:rFonts w:ascii="Calibri" w:hAnsi="Calibri" w:cs="Calibri"/>
            <w:color w:val="0000FF"/>
          </w:rPr>
          <w:t>закона</w:t>
        </w:r>
      </w:hyperlink>
      <w:r>
        <w:rPr>
          <w:rFonts w:ascii="Calibri" w:hAnsi="Calibri" w:cs="Calibri"/>
        </w:rPr>
        <w:t xml:space="preserve"> "Об инновационном центре "Сколково" и </w:t>
      </w:r>
      <w:hyperlink r:id="rId257" w:history="1">
        <w:r>
          <w:rPr>
            <w:rFonts w:ascii="Calibri" w:hAnsi="Calibri" w:cs="Calibri"/>
            <w:color w:val="0000FF"/>
          </w:rPr>
          <w:t>Указ</w:t>
        </w:r>
      </w:hyperlink>
      <w:r>
        <w:rPr>
          <w:rFonts w:ascii="Calibri" w:hAnsi="Calibri" w:cs="Calibri"/>
        </w:rPr>
        <w:t xml:space="preserve"> Президента Российской Федерации от 18 июня 2012 г. N 878 "О Совете при Президенте Российской Федерации по модернизации экономики и инновационному развитию России" определено юридическое лицо, на которое возлагается реализация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а также в случаях, предусмотренных учредительными документами этого юридического лица, участвует в формировании его органов, согласовывает изменения, вносимые в его устав, определяет территорию, на которой реализуется проект. В соответствии с решением Комиссии при Президенте Российской Федерации по модернизации и технологическому развитию экономики России (протокол заседания от 26 октября 2010 г.) реализация проекта по созданию и обеспечению функционирования инновационного центра "Сколково" возложена на управляющую компанию - Фонд развития Центра разработки и коммерциализации новых технологий (далее - Фонд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рамках полномочий управляющей компании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"Об инновационном центре "Сколково" на Фонд "Сколково" возложены следующие функции: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организационное руководство и координация деятельности по реализации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функционирования инфраструктуры территории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исследовательской деятельности и содействие ее осуществлению;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документов, необходимых для возмещения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"Об инновационном центре "Сколково" понесенных лицами, участвующими в реализации проекта, затрат по уплате ввозной таможенной пошлины и налога на добавленную стоимость.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России лидирующих позиций в области науки, технологий и образования, Фонд "Сколково" должен обеспечить поддержку, прежде всего, прикладным исследованиям и образованию по ключевым направлениям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Миссией Фонда "Сколково" является создание и поддержание глобально конкурентоспособных условий и среды для передовых исследований и разработок с последующей коммерциализацией их результатов, а также для формирования нового поколения высококлассных специалистов в приоритетных сферах технологического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"Сколково" обеспечивает в инновационном центре формирование полного цикла инновационного процесса, включающего в себя образование и научно-исследовательские работы, опытно-конструкторские разработки и коммерциализацию их результатов. Помимо этого Фонд "Сколково" предоставляет централизованные услуги, связанные с организацией инновационного процесса, и принимает участие в его финансировании.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свою недолгую историю, Фонд "Сколково" добился определенных результатов в решении каждой из задач, стоящих перед ним. В 2010 - 2012 годах был завершен этап становления инновационной экосистемы, характеризующийся созданием и формированием критической массы ключевых элементов инновационной экосистемы.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Фонду "Сколково" удалось организовать максимально открытые, прозрачные и понятные процедуры присвоения статуса участника и получения гранта. Сроки представления статуса участника составляют в среднем 29 дней или 40 дней, включая прохождение процедуры предварительного одобрения &lt;1&gt;. Это существенно ниже аналогичных сроков у прочих институтов развития и инновационных центров, как в России, так и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Процедура, в соответствии с которой исследователь проходит экспертизу по существу до регистрации юридического лица. В случае положительного заключения эксперта свидетельство о регистрации статуса участника выдается исследователю сразу же после соблюдения им формальных требований (регистрации юридического лица в соответствии с законодательством РФ).</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31 декабря 2012 г. статус участника уже получили 793 компании - технологических стартапов, ведущих исследовательскую деятельность.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статуса участника проекта "Сколково" выполняется с привлечением панели независимых экспертов, которые оценивают инновационность идеи и ее коммерческий потенциал.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проекта 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"Об инновационном центре "Сколково" могут заниматься следующими видами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собственных исследований и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результатов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исследований и разработок на заказ.</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участника проекта "Сколково" позволяет рассчитывать на следующие виды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коммерциализации проектов со стороны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грантовую поддержку от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исследовательской инфраструктуре в рамках создающейся инновационной экосистемы;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налоговые льготы, а именно налог на прибыль по ставке 0 процентов (с ограничением налоговых каникул по достижении пороговых значений выручки и прибыли), освобождение по выбору налогоплательщика от налога на добавленную стоимость, налог на имущество организаций по ставке 0 процентов, обязательные страховые взносы (совокупная ставка) - 14 процентов, земельный налог по ставке 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таможенного представителя в отношении товаров (за исключением подакцизных товаров), ввозимых для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Стартап в своем развитии проходит различные этапы в процессе трансформации научной или технологический идеи его основателей в успешный бизнес - так называемый жизненный цикл проекта. Несмотря на то, что для различных технологических направлений (энергоэффективные технологии, космические технологии, биомедицинские технологии, ядерные технологии, информационные технологии) существует своя специфика в детализации жизненного цикла стартапа, все они, как правило, проходят одинаковые условные стадии (и их этапы) до момента получения первой выручки. Некоторые из этих этапов/процессов идут параллельно.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0 "Формирование стартапа" - из новой технологической идеи, научного открытия формируется бизнес идея, план проекта; вокруг этого собирается команда; анализируется возможность построения успешного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1 "Исследование" - снимаются основные научно-технические неопределенности разработки.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2 "Разработка" - формируется продукт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3 "Подготовка к коммерциализации" - продукт проекта приобретает товарные характеристики.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элементы экосистемы инновационного центра "Сколково" в своем взаимодействии могут оказать существенное влияние на сокращение срока и достижения стадии коммерциализации идеи, продукта благодаря следующим факторам: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"Стадию 0" многие команды растягивают на длительное время, при этом параллельно запуская разработку продукта/технологии, еще не имея плана развития проекта. Это, зачастую, приводит к появлению невостребованных разработок или истощению ресурсов команды до появления возможности привлечения следующего этапа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формирования концепции проекта за счет обмена идеями в исследовательской среде и помощи кластеров в структурировании проекта позволяет оптимизировать длительность всех последующих стадий.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кластеров по структурированию проектов и созданию "дорожных карт" позволяет избегать, как минимум, наиболее распространенных ошибок при построении стартапа и оптимизировать использование ограниченных ресурсов. Наличие структурированного проекта также существенно упрощает общение команды с потенциальными инвесторами, соответственно, сокращая время на поиск внешнего финансирования. Со временем, благодаря накопленному опыту участников экосистемы и возможности быстрого взаимодействия, качество проектов на начальной стадии будет существенно возрастать, что повысит их выживаемость и скорость прохождения ранних этапов.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на ранней стадии позволит относительно быстро привлекать средства на проверку потенциала идей, чему также способствует формирование более качественного обоснования проекта (анализ рынка, пройденные испытания и т.п.). Тщательно проработанные и подтвержденные проекты имеют существенно больше шансов на скорейшее привлечение независимых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привлечения финансирования (переговорный процесс, оформление сделки) может требовать существенного времени. В зависимости от обеспеченности проекта финансированием данная фаза может оказать существенное влияние на сроки реализации проекта. Наличие в экосистеме большого числа специализированных инвесторов позволит существенно сократить срок на привлечение финансирования перспективными стартапами и отсев нежизнеспособных.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Распространенной в настоящее время проблемой является создание стартапов на базе научных команд из институтов. Такие команды, зачастую, избыточны по исследовательским возможностям для целей конкретного проекта. Это не позволяет участникам команды полностью сосредоточиться исключительно на данном проекте, и не совмещать с общенаучной и </w:t>
      </w:r>
      <w:r>
        <w:rPr>
          <w:rFonts w:ascii="Calibri" w:hAnsi="Calibri" w:cs="Calibri"/>
        </w:rPr>
        <w:lastRenderedPageBreak/>
        <w:t>преподавательской деятельностью. При этом в недостаточном количестве привлекаются предприниматели на ранней стадии, что приводит к снижению продуктивности основных исследователей, пытающихся имитировать предпринимательскую деятельность. Кроме того, такие команды часто прекращают развитие собственных проектов и начинают выполнять исследовательские контракты с потерей прав на интеллектуальную собственность. Полная команда зачастую формируется только к концу "Стадии 2", что приводит к медленному росту компании на "Стадиях 0 - 1".</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широкого круга специалистов на территории инновационного центра "Сколково", магистров и слушателей PhD программ Сколтеха, а также общая привлекательность инновационного центра "Сколково" как престижного места работы для исследователя, инженера, предпринимателя, позволит быстрее формировать команду проекта и привлекать компетенции необходимого уровня.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1" сокращение времени на проведение НИОКР может происходить за счет своевременно организованной кооперации с подходящими партнерами - лабораториями, центрами коллективного пользования, корпоративными НИОКР-центрами и т.п. Потенциальные партнеры по наиболее перспективным технологическим областям будут либо представлены в инновационном центре "Сколково", либо, как минимум, участники проекта "Сколково" будут обладать информацией об истории сотрудничества с ними. Таким образом, время на поиск подходящих партнеров и установление эффективной кооперации для новых участников будет существенно ниже текущей. Эффективные связи будут устанавливаться заранее еще на "Стадии 0". Скорость проведения НИОКР также может существенно возрастать за счет обмена идеями в исследовательской среде, наличия оборудования в близкой доступности, экспертизы и т.п.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в защите интеллектуальной собственности, патентных исследованиях, накопленный в центре интеллектуальной собственности "Сколково", сократит время на защиту результатов работы.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пилотного производства, как правило, требует изготовления и поставки оборудования под заказ; поиск партнера требует времени на достижение договоренностей и заключение договоров. Поскольку многие потенциальные партнеры будут являться элементами экосистемы, установление кооперационных связей будет проходить быстрее.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 на текущем этапе помощь кластеров оказывает влияние на поиск технологических партнеров и площадок для создания пилотного производства, а также площадок для тестовой эксплуатации.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"3 возможно существенное сокращение времени на поиск партнеров за счет наличия в инновационном центре "Сколково" НИОКР центров крупных корпораций, усилий профильных инвесторов, инвестирующих в развитие стартапа; а также за счет признания рынком общего высокого уровня разработок, производимых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только в 2012 году компаниями - участниками проекта "Сколково" было подано 159 заявок на регистрацию объектов интеллектуальной собственности (из них на регистрацию патентов и свидетельств приходится 123). По предварительным данным выручка участников за 2012 год составила не менее 5173 млн. руб. (данные получены на основе опроса компаний-участников).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компаний - участников проекта "Сколково" начали принимать заказы на продажу инновационных продуктов, и вышли на международные рынки (США, Япония, Китай). Девять компаний заключили соглашения с индустриальными партнерами - стратегическими инвесторами.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технологических компаний необходимым лабораторным оборудованием и офисными помещениями организовано временное помещение технопарка "Сколково", в котором организованы центры коллективного пользования - лаборатории, содержащие различное оборудование для проведения исследований по различным тематикам и направлениям: микроанализ, оптоэлектроника, прототипирование, включающее промышленный дизайн, лабораторию механообработки, инженерную лабораторию, 3D прототипирование.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"Сколково" активно привлекает к работе с участниками проекта венчурных инвесторов различных стадий. При Фонде "Сколково" аккредитовано более 50 инвесторов, которые по состоянию на 31 декабря 2012 г. инвестировали в 81 участника, причем инвестиции носят как </w:t>
      </w:r>
      <w:r>
        <w:rPr>
          <w:rFonts w:ascii="Calibri" w:hAnsi="Calibri" w:cs="Calibri"/>
        </w:rPr>
        <w:lastRenderedPageBreak/>
        <w:t>характер соинвестирования по грантам, так и самостоятельных инвестиций. Общая сумма инвестиций аккредитованных инвесторов составляет более 1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коммерциализации компаний, участников проекта, в инновационную экосистему "Сколково" привлекаются крупные индустриальные компании, которые способствуют: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формированию спроса на результаты инновационной деятельности компаний-участников;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использованию навыков и ресурсов партнеров для развития исследовательской инфраструктуры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поддержке деятельности участников в сфере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встраиванию инновационных разработок компаний-участников в глобальные производственно-технологические цепочки.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31 декабря 2012 г. соглашение о партнерстве подписало 29 крупных российских и международных компаний, из них 24 планируют открытие собственного центра НИОКР на территории инновационного центра "Сколково". Общий объем заявленных бюджетов составляет более 27 млрд. рублей до 2015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элементов инновационной экосистемы является Сколковский институт науки и технологий (Сколтех), который был создан 25 октября 2011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Сколковский институт науки и технологий создается как ведущий предпринимательский институт. К 2020 году будет создан институт мирового уровня, работающий по международным стандартам, привлекательный для ученых мирового класса и наиболее талантливых магистрантов и слушателей PhD программ, со штатом не менее 200 профессоров мирового класса, 1200 магистрантов и аспирантов, с удельной публикационной активностью на уровне ведущих международных университетов. Сколтех станет одним из центров притяжения талантов и формирования идей для стартапов в создающемся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создания Сколтеха планируется привлечение профессоров и специалистов мирового уровня для проведения исследований, реализации образовательных программ и создания инноваций по приоритетным для России направлениям; создание образовательных программ мирового уровня по востребованным направлениям, привлечение наиболее талантливых магистрантов и аспирантов; создание и развитие международной научной и образовательной сети, эффективно участвующей в решении актуальных задач российской науки, образования и экономики; создание системы трансфера знаний, технологий, практик и кадров в российские организации.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был проведен первый набор слушателей и конкурс на формирование первых исследовательских центров Сколтех, в результате которого было принято решение о создании трех таких центров. В сентябре 2013 г. будут запущены две первые учебные программы Сколтеха.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строительства инновационного центра на данный момент созданы первые элементы "физического Сколково" - построен Центр городского развития (Гиперкуб), впервые в России проложены подземные кабельные линии 500 кВ, построены подземные подстанции 220/20кВ.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центра "Сколково" направлено на создание среды проведения исследований и разработок мирового уровня, а также внедрения их результатов в динамично развивающихся секторах науки и технологии.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решение этой задачи подкрепляется широким кругом проектов развития российского сектора исследований и разработок, модернизации ключевых секторов отечественной промышленности в рамках соответствующих государственных программ Российской Федерации ("Развитие науки и технологий", "Развитие промышленности и повышение ее конкурентоспособности" и ряд других), программ инновационного развития компаний с государственным участием.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силу длительного периода отсутствия потребности отечественной экономики в результатах исследований и в кадрах по целому ряду приоритетных в рамках указанной стратегии направлений, образовался существенный разрыв между спросом на компетенции мирового уровня со стороны развивающихся российских компаний и предложением со стороны исследовательских и образовательных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важных, наряду с работами с "опорой на собственные силы", прямым импортом </w:t>
      </w:r>
      <w:r>
        <w:rPr>
          <w:rFonts w:ascii="Calibri" w:hAnsi="Calibri" w:cs="Calibri"/>
        </w:rPr>
        <w:lastRenderedPageBreak/>
        <w:t>технологий и обучением за рубежом, инструментов преодоления этого разрыва является организация взаимодействия с международными научными сетями для трансфера компетенций через проведение совместных исследований и подготовку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государственная поддержка мероприятий по привлечению в Россию ведущих специалистов и трансферу компетенций посредством реализации совместных проектов осуществляется, но носит ограниченный характер. Наиболее значимыми являются мероприятия по привлечению в вузы и институты РАН ведущих ученых, конкурсы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и соответствующих мероприятий РАН.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среда российских научных и научно-образовательных учреждений сегодня не гармонизирована с международной, не является привлекательной для большинства зарубежных ученых при выборе места проведения перспективных исследований. Ни один из реализуемых в настоящее время проектов не предусматривает создания и развития организации, имеющей такую среду.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 формированию привлекательной для привлечения ведущих зарубежных ученых структуры, способной эффективно развивать привнесенные ими компетенции, обеспечивать их внедрение, как в промышленности, так и в малых, и средних предприятиях, передавать их в другие российские научные и научно-образовательные организации, является важным элементом в рамках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само создание этого центра как точки развития глобально конкурентоспособных компаний, обладающих компетенциями мирового уровня, представляется невозможным без опоры на генерирующую такие компетенции в короткие сроки, научно-образовательную структуру, интегрированную в мировые передовые научные и образовательные сети.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формирования подпрограммы является понимание комплексности Фонда "Сколково", которая определяется как через те роли, которые он играет, так и через изменение его функционала по мере развития самого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аспекты Фонда "Сколково", необходимые для понимания комплексности его роли: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проекта по созданию инновационного центра и инновационной экосистемы;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финансовый институт (институт грантовой поддержки лиц, участвующих в проекте);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координатор и организатор, модератор инновационного сообщества;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муниципальных услуг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из этапов проекта на первый план выходит тот или иной аспект: если на этапе создания центра и экосистемы Фонд "Сколково" выступает как оператор проекта, как грантовый институт, деятельность которого направлена на реализацию функции финансирования стартапов за счет государственных средств и средств внешних инвесторов, привлекаемых Фондом "Сколково", то по мере развития экосистемы на передний план выходят функции модерирования, организации сообщества.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функционала Фонда "Сколково", а также его развитие и изменение в течение действия подпрограммы определяют и состав основных мероприятий, направленных на реализацию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из этапов проекта на первый план выходит тот или иной аспект: если на этапе создания центра и экосистемы Фонд "Сколково" выступает как оператор проекта, как грантовыи институт, деятельность которого направлена на реализацию функции финансирования стартапов за счет государственных средств и средств внешних инвесторов, привлекаемых Фондом "Сколково", то по мере развития экосистемы на передний план выходят функции модерирования, организации сообщества.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немаловажных аспектов деятельности инновационного центра "Сколково" является его встроенность в цепочку создания инновационного продукта наряду с другими институтами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Существующие институты развития закрывают все этапы процесса создания инновационного </w:t>
      </w:r>
      <w:r>
        <w:rPr>
          <w:rFonts w:ascii="Calibri" w:hAnsi="Calibri" w:cs="Calibri"/>
        </w:rPr>
        <w:lastRenderedPageBreak/>
        <w:t>продукта - от зарождения идеи до размещения на рынках капитала. Роль Фонда "Сколково" - не столько работа с существующими проектами и компаниями, сколько формирование новых.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вузов, НИИ и РАН Фонд "Сколково" не выполняет самостоятельных исследований и не проводит разработок. Задача Фонда "Сколково" - сопровождение и поддержка исследователей и разработчиков.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других институтов развития (ОАО "РОСНАНО", ОАО "РВК", Внешэкономбанк) деятельность Фонда "Сколково" не ставит целью возврат на вложенные инвестиции.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рассматривать цепочку создания инноваций как последовательность этапов от рождения идеи до выхода на биржу, то Фонд "Сколково" своей деятельностью преимущественно покрывает стадии посевного и венчурного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источником стартапов для Фонда "Сколково" могут служить как компании, уже включенные в систему инновационного лифта (например, перешедшие из Фонда содействия развитию малых форм предприятий в научно-технической сфере), так и компании, привлеченные в экосистему "Сколково" помимо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интеграция с другими институтами развития позволяет исследователям проходить всю цепочку создания инновационного продукта в рамках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прохождения стадии исследования к проекту компании-участника необходимо привлекать инвесторов и партнеров для обеспечения возможности коммерциализации конечного продукта. Если Фонд "Сколково" больше ориентирован на привлечение финансирования исследовательских стадий проекта проектов, то на более поздних стадиях проектов главную роль начинает играть ОАО "РВК".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прохождения этапов НИОКР исследование переходит в стадию внедрения в производство. На этом этапе инновационный продукт переходит на следующую ступень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цепочка поэтапного развития характерна и для развития инновационного бизнеса, сопутствующего развитию инновационного продукта.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роль Фонда "Сколково" сконцентрирована на предпосевной и посевной стадиях развития бизнеса и частично захватывает стадию запуска. Дальнейшие стадии: стадия роста, расширения бизнеса и размещения на рынках капитала - сопровождаются ОАО "РВК", ОАО "РОСНАНО" и Внешэкономбанком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"Сколково" совместно с Фондом содействия развитию малых форм предприятий в научно-технической сфере организовал программу, позволяющую повысить уровень технологического и предпринимательского образования в рамках программы Фонда содействия развитию малых форм предприятий в научно-технической сфере "Умник" и "Старт", тем самым повысить шансы стартапов на переход в инновационный центр "Сколково" по мере развития их идеи и перехода от предпосевной стадии. В инновационном центре "Сколково" стартап, достигая этапа коммерциализации, начинает участвовать в венчурной активности центра. Восемь венчурных фондов из более пятидесяти аккредитованных в Фонде "Сколково", созданы с участием ОАО "РВК".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ОАО "РОСНАНО" создан координационный Центр исследований в области системной биомедицины, биофармацевтики, медицинской биоинформатики и промышленных биотехнологий; создается Центр стандартизации инновационной продукции. Это позволит инновационным стартапам проще переходить к этапу производственной деятельности в рамках инновационного лифта.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68 стартапов, направленных институтами развития, получили статус участника проекта "Сколково". Из них 26 получили гранты. Общая сумма грантового финансирования, выделенная участникам, рекомендованным институтами развития, составляет 1,8 млрд. рублей. Девять компаний-участников получают софинансирование от других институтов развития, включая венчурные фонды РВК и Фонд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Инновационный центр "Сколково" будет расширять возможные аспекты сотрудничества с другими институтами развития. Одним из возможных направлений станет объединение усилий в области экспертизы, в том числе обеспечение доступа других институтов развития к экспертной панели Фонда "Сколково". Финансирование экспертизы в данных случаях будет происходить за </w:t>
      </w:r>
      <w:r>
        <w:rPr>
          <w:rFonts w:ascii="Calibri" w:hAnsi="Calibri" w:cs="Calibri"/>
        </w:rPr>
        <w:lastRenderedPageBreak/>
        <w:t>счет заказчиков экспертизы.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Немаловажным аспектом деятельности "Сколково" является развитие регионального взаимодействия и присутствия. При этом важно учитывать, что логика проекта заключается в создании и отработке модели формирования инновационной экосистемы, благоприятной для развития исследований и коммерциализации их результатов. После создания модели инновационного центра необходимо будет принято решение о возможности масштабирования отработанных в нем моделей операционного управления на региональные интеллектуальные центры.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это не означает изолированности развития инновационного центра на этапе его создания. Существующие мировые практики и примеры формирования инновационных центров и экосистем показывают, что для создания саморазвивающейся инновационной экосистемы на первоначальном этапе необходима не только ресурсная, но и территориальная фокусировка. Это позволяет сконцентрировать усилия и ресурсы, необходимые для создания и развития инновационной экосистемы, отработать новые механизмы в сфере инженерного образования, высокотехнологичного предпринимательства, создания и развития механизмов, правил, политик в области защиты и охраны объектов интеллектуальной собственности, стимулирования предпринимательской активности.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такому принципу создавались такие ныне успешные инновационные центры, как A-stars в Сингапуре, Sophia Antipolis во Франции, Адлерсхоф в Германии и многие другие. Инновационные центры, история создания которых тесно связана с университетами - Oxford Bioscience Network, Cambridge Science Park, Research Triangle Park (США) - также возникали изначально на ограниченной территории. Это позволило им в течение определенного времени привлечь к себе и создать внутри себя необходимый минимум инновационных стартапов, индустриальных компаний, венчурных инвесторов, который затем позволил инновационной экосистеме стать самовоспроизводящейся и саморазвивающейся.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центр "Сколково", с одной стороны, фокусирует свои усилия на создании инновационной экосистемы на ограниченной территории, а с другой, - активно взаимодействует с внешней средой, понимая, что именно внешняя среда является основным источником инновационной активности внутри самого центра. Это взаимодействие осуществляется по различным направлениям и с различными субъектами инновационного развития - от соглашений с региональными вузами, то конкретных мероприятий с технопарками и научными центрами.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программой "Сколково", направленной на развитие регионального стартап-сообщества, является программа Открытого университета Сколково (ОтУС), входящего в систему подготовки молодых специалистов для инновационного центра "Сколково" и инновационной экосистемы России. В 2012 году в Томске и Санкт-Петербурге открыты две региональных учебных программы, в рамках которых проводятся курсы обучения студентов и начинающих предпринимателей. Проведены такие мероприятия, как Открытая стартап-школа SumIT, V Петербургский международный инновационный форум, циклы лекций по Технологическому предпринимательству, Практикуму управления проектами. Данные лекции и семинары проводятся в сотрудничестве с ведущими российскими и международными профессорами и признанными лидерами в области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создания стартап сообщества "Сколково" большое внимание уделяет также развитию профессиональных цепочек, направленных на создание системы поддержки молодых предпринимателей по всей стране. Так, 24 декабря 2012 года Центром Интеллектуальной Собственности "Сколково" и Технопарком высоких технологий Югры подписано соглашение об обмене идеями и разработками в области привлечения инвестиций, бизнес-планирования и вывода инновационных продуктов на рынок.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2010 года Фондом подписаны меморандумы о сотрудничестве с 18 ведущими российскими университетами. Для координации работы Фонда и университетского сообщества создана Ассоциация предпринимательских университетов России. Инициаторы создания Ассоциации МФТИ, ИТМО, МИСиС, ВШЭ, ТПУ, ТУСУР Университеты-члены Ассоциации при поддержке Фонда "Сколково" начали реализацию совместных мероприятий и сетевых проектов, направленных на развитие исследовательских, инженерных и предпринимательских компетенций в приоритетных направлениях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поддержке Фонда "Сколково" запущен проект по поддержке модернизации бакалавриата в области техники и технологий на основе международных стандартов инженерного образования, с целью разработки комплекса учебно-методических материалов для развития базовых инженерных компетенций. В проекте принимают участие ИТМО, МФТИ, МИСиС, ВШЭ, МИФИ, СГАУ. В результате проекта будут разработаны не менее 5 пилотных образовательных программ модернизированного бакалавриата в области техники и технологий по приоритетным направлениям Сколково, при этом программы будут отвечать требованиям национальных и международных стандартов инженерного образования, в т.ч. инициативы CDIO по идеологии MIT.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деятельности Ассоциации предпринимательских университетов, осуществляется сотрудничество с ВУЗами, не входящими в нее. Так, в Красноярске Сибирский государственный аэрокосмический университет имени академика М.Ф. Решетнева с 2011 года реализует совместный проект "Бизнес-инкубатор СибГАУ-Сколково". В Калининграде Балтийский федеральный университет имени Иммануила Канта и ФГОУ ВПО "Калининградский государственный технический университет", ГУП "Калининградский янтарный комбинат" реализуют со "Сколково" совместные проекты бизнес-инкубаторов. Бессрочное соглашение заключено также с Объединенным институтом ядерных исследований и Администрацией г. Дубны, которые вместе с Технопарком "Сколково" осуществляют поддержку проектов, представляющих взаимный интерес, обмен информацией и предоставление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более тесное сотрудничество с российскими вузами будет осуществлено при формировании исследовательских центров Сколковского института науки и технологий. К формированию этих центров в обязательном порядке приглашаются ведущие российские вузы и научно-исследовательские институты и центры.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этапа формирования инновационного центра "Сколково" будет принято решение о вариантах и возможностях масштабирования проекта на другие центры интеллектуального развития страны. При этом под масштабированием, прежде всего, понимается перенос наработанных практик операционного управления и развития инновационных центров, формирование условия, благоприятных для развития исследований и коммерциализации. Так, одним из возможных вариантов масштабирования может стать масштабирование на основе уже существующих инновационных центров, университетов, технопарков (например, Казань, Томск, Новосибирск, Екатеринбург, Санкт-Петербург). Масштабирование может быть проведено в виде построения единой технологической цепочки "от идеи до конечного потребителя", имеющей региональные или отраслевые принципы построения.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будущем инновационный центр "Сколково" планирует активно участвовать в развитии региональных инновационных кластеров как наиболее оптимальных площадок для коммерциализации разработок. Основные направления этого сотрудничества будут, прежде всего, сформированы в области распространения и передачи знаний и операционных технологий управления развития инноваций и коммерциализации результатов исследовательской деятельности; передачи разработанных и прошедших период апробации и подтверждения образовательных программ в области инженерного образования, что будет способствовать сокращению сроков коммерциализации в других инновационных центрах страны. Не меньшее внимание "Сколково" будет уделять и содействию регионам в создании и развитии предпринимательских инновационных стартап-сообществ.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облегчения распространения знаний и навыков в области поддержки исследований и коммерциализации в инновационных экосистемах осуществляется систематизация накопленного опыта. В инновационном центре "Сколково" будет создана открытая библиотека навыков и знаний по формированию инновационных экосистем, которая будет использоваться в процессе тиражирования опыта сопровождения исследований и коммерциализации их результатов. Накопленный опыт будет включать в себя как типовые организационные решения для внедрения и управления, так и наиболее типичные ошибки, допускающиеся при формировании и развитии инновационных экосистем. Библиотека навыков и знаний будет постоянно актуализироваться по мере накопления общероссийского опыта создания и развития инновационных экосистем.</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28" w:name="Par3995"/>
      <w:bookmarkEnd w:id="228"/>
      <w:r>
        <w:rPr>
          <w:rFonts w:ascii="Calibri" w:hAnsi="Calibri" w:cs="Calibri"/>
        </w:rPr>
        <w:t>II.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(индикаторы) достижения целей и решения задач, описание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29" w:name="Par4001"/>
      <w:bookmarkEnd w:id="229"/>
      <w:r>
        <w:rPr>
          <w:rFonts w:ascii="Calibri" w:hAnsi="Calibri" w:cs="Calibri"/>
        </w:rPr>
        <w:t>1. Приоритеты государственной политики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 ноября 2008 г. N 1662-р;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31 января 2013 г. N 404п-П13;</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 N Пр-83;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264" w:history="1">
        <w:r>
          <w:rPr>
            <w:rFonts w:ascii="Calibri" w:hAnsi="Calibri" w:cs="Calibri"/>
            <w:color w:val="0000FF"/>
          </w:rPr>
          <w:t>закона</w:t>
        </w:r>
      </w:hyperlink>
      <w:r>
        <w:rPr>
          <w:rFonts w:ascii="Calibri" w:hAnsi="Calibri" w:cs="Calibri"/>
        </w:rPr>
        <w:t xml:space="preserve"> от 23 августа 1996 г. N 127-ФЗ "О науке и государственной научно-технической политике";</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Указа</w:t>
        </w:r>
      </w:hyperlink>
      <w:r>
        <w:rPr>
          <w:rFonts w:ascii="Calibri" w:hAnsi="Calibri" w:cs="Calibri"/>
        </w:rPr>
        <w:t xml:space="preserve">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Определены следующие приоритеты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трансформация передового опыта коммерциализации научно-технических разработок, обеспечение ускоренного внедрения ведущих технологий в реальный сектор экономики, обновление задела для участия в формировании глобальных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полюса притяжения для передовых научно-исследовательских разработок мирового уровня, обеспечение консолидации интеллектуально-творческих ресурсов в соответствии с логикой прогресса и социальными идеалами 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способствующей развитию талантов и привлекательной для них. При проектировании и строительстве инновационного города будут использоваться самые современные и эффективные градостроительные, архитектурные и инженерные решения, которые позволят создать максимально дружественную среду для человека и обеспечат высокий уровень качества жизни;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обеспечение доступа талантливой молодежи к современным знаниям и лучшим мировым практикам. Добиться личного успеха можно будет благодаря знаниям, творческим способностям, труду и предпринимательскому духу;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российского сектора исследований и разработок в глобальную инновационную систему, развитие инструментов и расширение масштабов международного сотрудничества на уровне, как научных организаций, так и творческих коллективов (подразделений, лабораторий) и отдельных исследователей;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открытости национальной инновационной системы и экономики, степени интеграции России в мировые процессы создания и использования нововведений;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полное распространение международных стандартов на области образования, науки, техники,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привлечения научными и научно-образовательными организациями ведущих зарубежных ученых для проведения исследований и обучения российских исследователей;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поддержки стажировок российских исследователей за рубежом и зарубежных </w:t>
      </w:r>
      <w:r>
        <w:rPr>
          <w:rFonts w:ascii="Calibri" w:hAnsi="Calibri" w:cs="Calibri"/>
        </w:rPr>
        <w:lastRenderedPageBreak/>
        <w:t>исследователей в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взаимодействия с российскими научными диаспорами за рубежом;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усилий на исследовательских и образовательных программах по приоритетным направлениям развития науки, технологий и техники в Российской Федерации (информационно-коммуникационные технологии, науки о жизни, рациональное природопользование, транспортные и космические системы, энергоэффективность, энергосбережение, ядерная энергетика).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приоритеты соответствуют Стратегии инновационного центра "Сколково" до 2020 года, утвержденной Советом Фонда "Сколково" 17 декабря 2012 г.</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30" w:name="Par4026"/>
      <w:bookmarkEnd w:id="230"/>
      <w:r>
        <w:rPr>
          <w:rFonts w:ascii="Calibri" w:hAnsi="Calibri" w:cs="Calibri"/>
        </w:rPr>
        <w:t>2. Цели, задачи и показатели (индикаторы) достижения целей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и обеспечение функционирования инновационного центра "Сколково" для развития исследований, разработок и коммерциализации их результатов по приоритетным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развиваемыми в инновационном центре "Сколково",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"Об инновационном центре "Сколково"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энергоэффективность и энергосбережение, в том числе разработка инновационных энергетических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ядерные технологии;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космические технологии, прежде всего в области телекоммуникаций и навигационных систем (в том числе создание соответствующей наземной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технологии в области разработки оборудования, лекарственных средств;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компьютерные технологии и программное обеспечение.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задачами подпрограммы являются следующие.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 создание и развитие инновационной среды,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данной задачи выделяются следующие подзадачи.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портфелем инновационных проектов и обеспечение их взаимодействия между собой и с ключевыми элементами инновационной экосистемы.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участникам инновационного центра необходимой поддержки для успешного развития их технологических активов и корпоративной структуры, а также создание возможностей для их становления в качестве лидирующих игроков на российском и глобальных рынках.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партнерского сообщества с целью: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результаты инновационной деятельности компаний, участников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навыков и ресурсов партнеров для развития исследовательской инфраструктуры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деятельности участников в сфере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встраивания инновационных разработок компаний, участников проекта, в глобальные производственно-технологические цепочки.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 развитие инженерно-предпринимательского института (Сколтеха), призванного стать моделью нового российского технологического вуза в части обучения, создания знаний и продвижения технологий для решения ключевых научных, технологических и инновационных задач, как в России, так и во всем мире.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 создание инновационного центра, представляющего собой исследовательскую и социальную инфраструктуру, привлекательную для постоянного притока талантов извне и поддержания благоприятных условий для развития инноваций и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целей и решения задач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количество патентов, полученных на территории иностранных государств, включая США, Европу, Японию;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частных инвестиций, привлеченных в инновационную экосистему "Сколково", включая инвестиции в проекты компаний, участников проекта и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выручка компаний-участников проекта "Сколково", полученная от результатов исследовательской деятельности (накопленным итогом);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публикаций в журналах, индексируемых в "Сеть науки" (на 1 исследователя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интегральный вклад проекта "Сколково" в экономику Российской Федерации (накопленным итогом);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выпускников Сколтеха, вовлеченных в инновационную деятельность;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коэффициент пригодности инновационного центра для жизни и работы (Коэффициент счастья);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сокращение средних сроков коммерциализации проектов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31" w:name="Par4059"/>
      <w:bookmarkEnd w:id="231"/>
      <w:r>
        <w:rPr>
          <w:rFonts w:ascii="Calibri" w:hAnsi="Calibri" w:cs="Calibri"/>
        </w:rPr>
        <w:t>3. Описание основных ожидаемых конечных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выполнения подпрограммы является реализация всех мероприятий и достижение всех указанных показателей.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ожидаются следующие количественные и качественные результаты.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Созданная инновационная экосистема будет способствовать созданию интеллектуальной собственности и коммерциализации результатов исследований. Возрастет количество заявок на государственную регистрацию интеллектуальной собственности, поданных компаниями участниками проекта "Сколково", со 159 заявок в 2012 году до 350 заявок к 2020 году (накопленным итогом к 2020 году количество заявок достигнет более 2000).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Увеличение объема выручки компаний, участников проекта "Сколково", полученной от исследовательской деятельности, с 1,2 млрд. рублей в 2012 году до 100 млрд. рублей в 2020 году (накопленным итогом).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Объем внешнего финансирования, привлеченного для реализации проектов участников проекта "Сколково" и Сколтех к 2020 году составит более 100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К 2020 году будет создан Сколтех, работающий по международным стандартам, привлекательный для работы и проведения исследований учеными мирового класса и для наиболее талантливых магистрантов и слушателей PhD программ. Количество выпускников составит не менее 1000 человек. Число публикаций в журналах, индексируемых в "Сеть Науки", приходящихся на сто исследователей Сколтех составит к 2020 году 75 - 85 штук.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за счет средств федерального бюджета - 403 тыс. кв. 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Средние сроки коммерциализации проектов участников проекта "Сколково" к 2020 году сократятся на 20 процентов относительно текущих значений.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32" w:name="Par4071"/>
      <w:bookmarkEnd w:id="232"/>
      <w:r>
        <w:rPr>
          <w:rFonts w:ascii="Calibri" w:hAnsi="Calibri" w:cs="Calibri"/>
        </w:rPr>
        <w:t>4. Сроки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мероприятий подпрограммы - 2013 - 2020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33" w:name="Par4075"/>
      <w:bookmarkEnd w:id="233"/>
      <w:r>
        <w:rPr>
          <w:rFonts w:ascii="Calibri" w:hAnsi="Calibri" w:cs="Calibri"/>
        </w:rPr>
        <w:t>III. Характеристика основных мероприятий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экосистемы предусматривает формирование, развитие и координацию образовательной среды, среды исследовательской и предпринимательской, а также физической инфраструктуры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в рамках подпрограммы были выделены следующие основные мероприятия - </w:t>
      </w:r>
      <w:r>
        <w:rPr>
          <w:rFonts w:ascii="Calibri" w:hAnsi="Calibri" w:cs="Calibri"/>
        </w:rPr>
        <w:lastRenderedPageBreak/>
        <w:t>"Создание инновационной среды", "Создание и развитие Сколковского института науки и технологий", "Создание и управление физической инфраструктурой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34" w:name="Par4080"/>
      <w:bookmarkEnd w:id="234"/>
      <w:r>
        <w:rPr>
          <w:rFonts w:ascii="Calibri" w:hAnsi="Calibri" w:cs="Calibri"/>
        </w:rPr>
        <w:t>1. Создание и развитие инновационной среды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среды экосистемы "Сколково" предполагает формирование условий и системы взаимодействия между элементами экосистемы, обеспечивающих благоприятные условия для формирования идей, развития исследований и коммерциализации инновационных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среда формируется из следующих ключевых элементов: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стартапы - компании, участники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 объединяющий лабораторную и сервисную инфраструктуру;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компетенций;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индустриальные партнеры;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венчурные инвесторы;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виртуальная среда и коммуникационная среда.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данного мероприятия станет, с одной стороны, сформированная формальная система привлечения, отбора, финансирования, предоставления услуг, сопровождения исследований, помощи в коммерциализации, будут формализованы правила нахождения в системе и выхода из нее, с другой стороны, среда будет наполнена ключевыми субъектами экосистемы - участниками, индустриальными партнерами, финансовыми институтами.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будет осуществляться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исследователей и предпринимателей в инновационный центр, отбор проектов и мониторинг их реализации, содействие в коммерциализации разработок;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исследовательских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исследовательской и сервисной инфраструктуры инновационного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индустриальных и финансовых партнеров в инновационный центр;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коммуникационной среды и Виртуального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проектом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35" w:name="Par4099"/>
      <w:bookmarkEnd w:id="235"/>
      <w:r>
        <w:rPr>
          <w:rFonts w:ascii="Calibri" w:hAnsi="Calibri" w:cs="Calibri"/>
        </w:rPr>
        <w:t>1.1. Привлечение исследователей и предпринимателей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инновационный центр, отбор проектов и мониторинг</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содействие в коммерциализации разработок</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являются одним из ключевых элементов экосистемы. Мероприятие нацелено на формирование целевого портфеля участников в соответствии со стратегиями кластеров по привлечению участников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реализуются следующие направления: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исследовательских приоритетов ("форсайтов"), включая их фокусировку, с привлечением научно-технологических институтов, венчурных инвесторов, индустриальных партнеров;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привлечению участников в соответствии с целевым профилем, определенным в рамках разработки стратегий привлечения по кластерам Фонда "Сколково" (в т.ч. независимые команды, научно-исследовательская среда, спинофы среднего и крупного бизнеса);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своевременному и качественному проведению экспертизы на статус участника, взаимодействию с экспертными коллегиями.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проведению экспертизы на статус участника и мониторингу портфеля участников, а также контролю за соблюдением Правил проекта "Сколково" выполняется на постоянной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реализуется также программа акселерации участников "Сколково", целью которой является обеспечение ускоренного роста и развития участников, ориентированных на глобальную коммерциализацию своих инновационных идей.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акселерации осуществляется за счет: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культуры предпринимательства у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участников проекта "Сколково" в глобальную инновационную экосистему;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обучения на лучших примерах и опыте международной предпринимательской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помощи в выходе на международные рынки инвестиций, партнерства и сбыта;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отслеживания, анализа и корректировки их активностей в данном направлении.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Контрольным событием по данному мероприятию является достижение целевого значения в 1000 участников, получивших статус участника проекта "Сколково" в соответствии с установленными процедурами, и разместившими свои исследовательские подразделения на территории инновационного центра 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36" w:name="Par4118"/>
      <w:bookmarkEnd w:id="236"/>
      <w:r>
        <w:rPr>
          <w:rFonts w:ascii="Calibri" w:hAnsi="Calibri" w:cs="Calibri"/>
        </w:rPr>
        <w:t>1.2. Грантовая поддержка исследовательских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является привлечение необходимого финансирования для реализации проектов участников. Основная задача проекта в этой части является формирование института финансирования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деятельность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потребности участников проекта "Сколково" в финансировании и реализация мероприятий по привлечению внешнего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поддержки участникам проекта "Сколково" за счет выделения грантов на реализацию проектов (с учетом стратегии привлечения участников проекта "Сколково" по кластерам и критериев номинирования на грант);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привлечение внешнего финансирования проектов участников с целью обеспечения доступа к иным источникам финансирования (венчурным инвесторам, бизнес-ангелам, а также институтам развития и государственным программам поддержки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контроль расходования грантовых средств грантополучателями.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проекта "Сколково" грантовое финансирование предоставляется при следующих основных требованиях к проектам-заявителям: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новизна в мировом масштабе и качество команды;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и четкий план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необходимых объемов софинансирования;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защита прав на результаты исследований, проводимых в рамках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предоставления отчетов по результатам реализации стадий;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независимого подтверждения результатов достижения стадий;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аффилированных соисполнителей.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грантовой поддержки зависят от текущего этапа реализации проекта-заявителя (т.н. стадии проекта). В рамках Грантовой политики Фонда (утверждена 23 августа 2012 г. приказом N 74) выделяются три стадии грантовой поддержки, минигранты и гранты центрам прикладных исследований. Фонд "Сколково" предоставляет одному участнику проекта "Сколково" на реализацию стадии исследовательского проекта не более одного гранта без учета минигрантов. Обязательным условием предоставления грантов, кроме минигрантов, является привлечение участником софинансирования, например, в виде вклада в уставной капитал.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политика определяет набор целевых результатов, которые должны быть достигнуты по итогам реализации каждой стадии по следующим категориям: проведение исследований и разработок; защита интеллектуальной собственности; создание коммерческой версии продукта, маркетинг и внедрение; формирование проектной команды. Набор целевых результатов сформирован с учетом индустриальной специфики кластеров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кластерам в рамках "Стадии 1" предполагается подтверждение технологии и разработка прототипа, а также подача заявок, по "Стадии 2" - разработка опытного образца, патентование объектов интеллектуальной собственности, по "Стадии 3" - подготовка предсерийного образца, полная патентная защита, а также достижение соглашений с индустриальными или финансовыми партнерами по дальнейшей коммерциализации результатов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 прикладных исследований - это особый вид участника проекта "Сколково", </w:t>
      </w:r>
      <w:r>
        <w:rPr>
          <w:rFonts w:ascii="Calibri" w:hAnsi="Calibri" w:cs="Calibri"/>
        </w:rPr>
        <w:lastRenderedPageBreak/>
        <w:t>осуществляющий исследования, которые соответствуют инновационным приоритетам Фонда "Сколково" 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 создание результатов интеллектуальной деятельности с высоким коммерческим потенциалом;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на быструю разработку прорывных технологий для новых технологических платформ.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суммы грантов по стадиям, а также минимальные доли софинансирования составляют: для минигрантов - до 5 млн. рублей (с нулевой минимальной долей софинансирования), для грантов "Стадии 1" до 30 млн. рублей (доля софинансирования - не менее 25 процентов), "Стадии 2" - до 150 млн. рублей (доля софинансирования - не менее 50 процентов), "Стадии 3" - до 300 млн. рублей (доля софинансирования - не менее 75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создания экосистемы (в течение 2010 - 2014 годов) Фонд "Сколково" играет ключевую роль по финансовой поддержке исследовательской деятельности участников, вовлечение соинвесторов происходит в ограниченном объеме в связи с ограниченным количеством "историй успеха" и незавершенным формированием "критической массы" проектов и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развития экосистемы (начиная с 2015 года) Фонд "Сколково" в соответствии с выбранной в Стратегии моделью управления "Организатор" переходит к выборочной поддержке проектов. К этому моменту формируется достаточное количество "историй успеха", инвесторы получают представление о потенциале коммерциализации проектов участников. Наличие эффективно действующих сообществ инвесторов позволяет прогнозировать существенное увеличение доли софинансирования исследовательской деятельности 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перехода к целевому состоянию развития экосистемы акцент грантовой поддержки будет смещаться к предоставлению грантов проектам "1 и 2 Стадий", при минимизации поддержки проектов "Стадии 3". Предполагается сохранение доли грантов центрам прикладных исследований в размере до 10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результатов в этом направлении является доля частного капитала, привлеченного на финансирование проектов участников, в сравнении с объемом выданных грантов, которая должна подниматься от текущих 40 процентов до 80 процентов в 2020 году.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предоставления грантов участникам проекта "Сколково" Фонд "Сколково" также предоставляет гранты российским образовательным организациям, участвующими в проекте создания и обеспечения функционирования инновационного центра "Сколково". В этом случае гранты, предоставляемые Фондом "Сколково" являются также инструментом поддержки исследовательских коллективов российских вузов. Решение о выдаче грантов исследовательским коллективам российских вузов принимается на основании решения Консультативного научного Совета Фонда при условии соответствия проекта, для которого запрашивается грант, целям Закона, а для Сколтеха дополнительно - целям соглашения о сотрудничестве от 26 октября 2011 г., заключенного между Фондом, Сколтехом и Массачусетским технологическим институтом, и целям и задачам Сколтеха. Финансирование по данному направлению предусмотрена в государственной подпрограмме "Создание и развитие инновационного центра "Сколково" в рамках мероприятия "Грантовая поддержка исследовательских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37" w:name="Par4147"/>
      <w:bookmarkEnd w:id="237"/>
      <w:r>
        <w:rPr>
          <w:rFonts w:ascii="Calibri" w:hAnsi="Calibri" w:cs="Calibri"/>
        </w:rPr>
        <w:t>1.3. Создание исследовательской среды и сервисной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инновационного центра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участникам инновационного центра "Сколково" необходимой поддержки для успешного развития их технологических активов и корпоративной структуры, а также создание возможностей для их становления в качестве лидирующих игроков на российском и глобальных рынках происходит как в форме создания сервисной среды (то есть запуска расширенного набора услуг, включая подбор кадров, поиск партнеров, программы наставничества, управленческое консультирование), так и создания инфраструктуры для проведения НИОКР.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работу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среды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запуск расширенного набора услуг, включая подбор кадров, поиск партнеров, программы </w:t>
      </w:r>
      <w:r>
        <w:rPr>
          <w:rFonts w:ascii="Calibri" w:hAnsi="Calibri" w:cs="Calibri"/>
        </w:rPr>
        <w:lastRenderedPageBreak/>
        <w:t>наставничества, управленческое консультирование.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НИОКР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потребностей и прогнозирование спроса участников на оборудование;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по синхронизации набора оборудования Технопарка и исследовательских центров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необходимого набора центров коллективного пользования (ЦКП).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Международное сотрудничество: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 международных программ стажировок и обучения стартапов (организация "выездных" инкубаторов);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по обмену резидентами, привлечение зарубежных проектов; выстраивание международных цепочек инновационного роста;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постоянных представительств международных агентств развития в инновационном центре "Сколково" и наших представительств у них.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формирование и развитие следующих типов услуг для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офисных помещений;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визово-миграционная поддержка;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консалтинг, обучение, коучинг;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конференций и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маркетинговые исследования;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в поиске делового партнера;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затрат по уплате ввозной таможенной пошлины и налога на добавленную стоимость.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поддержки лицам, участвующим в реализации проекта создания и обеспечения функционирования инновационного центра "Сколково", предусмотрено предоставление из федерального бюджета субсидий на возмещение затрат по уплате ввозной таможенной пошлины и налога на добавленную стоимость при ввозе в Российскую Федерацию товаров (за исключением подакцизных) для целей их использования при строительстве, оборудовании и техническом оснащении объектов недвижимости на территории центра "Сколково" или необходимых для осуществления исследовательской деятельности участниками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Технопарк "Сколково" (далее - Технопарк) является дочерней компанией Фонда "Сколково". Задачей Технопарка является оказание инновационным компаниям, участникам проекта "Сколково", поддержки для развития технологических активов и корпоративной культуры, способствование их развитию в лидирующих игроков на глобальных рынках. Технопарк действует на двух площадках: в Бизнес-центре "Урал" и в Гиперкубе.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программу города входят два объекта для размещения стартапов.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объект - офисный центр "Технопарк" общей площадью 30 тыс. кв. метров со сроком сдачи в 2013 году. Офисный центр "Технопарк" состоит из восьми корпусов, соединенных несколькими надземными переходами. Офисный центр "Технопарк" предназначен для размещения органов управления участников проекта, ведения исследовательской деятельности. Он не предполагает размещения крупных лабораторий, для которых возводится второй объект.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объект - лабораторно-офисный комплекс "Технопарк" общей площадью 146 тыс. кв. м, состоящий из трех корпусов (очередей). Первый из корпусов общей площадью 76 тыс. кв. м будет сдан к 2015 году. Лабораторно-офисный центр "Технопарк" включает в себя центры коллективного пользования, чистые комнаты и значительный объем лабораторий. Он предназначен для осуществления сложных видов исследовательской деятельности, требующих значительного объема оборудования. По мере расширения инновационного центра "Сколково", на основании анализа возникающих потребностей компаний, участников проекта "Сколково", в офисной и лабораторной инфраструктуре будут приниматься решения о строительстве </w:t>
      </w:r>
      <w:r>
        <w:rPr>
          <w:rFonts w:ascii="Calibri" w:hAnsi="Calibri" w:cs="Calibri"/>
        </w:rPr>
        <w:lastRenderedPageBreak/>
        <w:t>последующих корпусов Технопарка.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участников проекта в офисных площадях на территории инновационного центра "Сколково" может быть удовлетворена за счет размещения их в следующих помещениях: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офисный центр "Технопарк" и лабораторно-офисный комплекс "Технопарк";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ключевых партнеров (содержат как офисные, так и лабораторные площади);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офисные здания, которые будут построены девелоперами (например, в рамках районов D1 и D2 города).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площадей Технопарка в аренду для компаний, участников проекта "Сколково", будут использоваться льготные ставки. Необходимо отметить, что расчет целевых площадей Технопарка не предполагал размещение в рамках комплекса спинофов ключевых партнеров, которые должны разместиться в отдельных зданиях ключевых партеров.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площадей, необходимых к строительству в рамках первой очереди строительства Технопарка, рассчитывался на основании опросов потребностей участников, готовых переехать в инновационном центре "Сколково" в течение 2014 - начале 2015 годов. В рамках изучения готовности участников к переезду и их целевых потребностей Фонд "Сколково" провел серию опросов (сентябрь 2012 г., март 2013 г.); доля участников проекта "Сколково", выразивших готовность к переезду, находится в диапазоне от 40 до 60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развития инновационного центра "Сколково" потребности участников в офисных и лабораторных помещениях будут расти, в этой связи на 2015 - 2017 годы запланирован ввод основного количества объектов офисной и лабораторной инфраструктуры инновационного центра "Сколково", которые возводятся ключевыми партнерами и девелоперами.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сдачи в эксплуатацию основного здания Технопарка компании-участники размещаются на временной площадке в бизнес-центре "Урал", в котором также организованы внешние ЦКП, которые прошли аккредитацию и обеспечивают высокое качество аналитических услуг на льготных условиях.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"Микроанализ" ориентирован на поддержку мультидисциплинарных работ по всем пяти приоритетным направлениям. Для удобства участников проекта "Сколково", находящихся вне города Москвы, организован удаленный режим пользования. Оказываемые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световая микроскопия;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растровая электронная микроскопия (РЭМ);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фокусированный ионный пучок (РЭМ + ФИП);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образцов;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просвечивающая электронная микроскопия (ПЭМ, ВРПЭМ, ПРЭМ);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рентгеновская микроскопия, фазовый анализ, фотоэлектронная спектроскопия;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гранулометрия порошковых материалов и суспензий.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"Прототипирование" состоит из 4 лабораторий: инженерная лаборатория, лаборатория механообработки, лаборатория 3D прототипирования и лаборатория промышленного дизайна. Оказываемые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дизайн исследования;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промышленного и графического дизайна/фирменного стиля;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конструкторских работ и последующее изготовление изделий 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выпуск/корректировка конструкторской документации;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инженерный анализ CAD/CAM/CAE;</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узлов и деталей;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проведении измерений, испытаний и сертификации образцов продукции;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концептуальных моделей, промышленный дизайн;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презентационных, функциональных прототипов в различных производствах, в частности, в энергетике, автомобильной и аэрокосмической отраслях.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Оптоэлектроника создан на базе "НТЦ Тонкопленочные технологии в энергетике при ФТИ Иоффе (Санкт-Петербург). Оказываемые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вакуумная техника для исследовательских работ в области фотовольтаики;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поверхности;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масс-спектрометрия;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спектрометрия, включая ИК-Фурье и рамановскую;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измерение эффекта Холла;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измерения;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с применением спектрального фазово-модуляционного эллипсометра;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спектрофотометрия;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38" w:name="Par4216"/>
      <w:bookmarkEnd w:id="238"/>
      <w:r>
        <w:rPr>
          <w:rFonts w:ascii="Calibri" w:hAnsi="Calibri" w:cs="Calibri"/>
        </w:rPr>
        <w:t>1.4. Привлечение индустриальных и финансовых партнеров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инновационный центр</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Партнеры инновационной экосистемы являются одним из ключевых элементов, целью которого является создание и развитие исследовательской инфраструктуры и поддержка деятельности участников проекта "Сколково" в сфере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Базовыми принципами привлечения партнеров в экосистему являются следующие.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исследовательских и коммерческих интересов партнеров приоритетным направлениям исследований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Готовность осуществлять наставническое сопровождение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открыть центр НИОКР на территории инновационного центра "Сколково" (для индустриальных партнеров).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инвестировать в участников проекта "Сколково" фиксированную сумму в течение определенного периода времени.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индустриальных партнеров заключается в поддержании деловой активности в экосистеме и участии в формировании инвестиционных приоритетов. Основная задача мероприятия - это формирование среды, привлекательной для частного капитала и корпоративных партнеров с целью содействия коммерциализации инновационных разработок участников проекта "Сколково". Для реализации мероприятия необходимо: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сотрудничества с корпоративными партнерами в части создания центров НИОКР на территории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взаимосвязей между участниками проекта "Сколково" и корпоративными партнерами, в том числе через выполнение заказов на проведение исследований и разработок в рамках государственных технологических программ и корпоративных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венчурных инвесторов заключается в предоставлении финансирования и наставничества при реализации проектов участников проекта "Сколково". Мероприятие позволит повысить уровень вовлеченности венчурных инвесторов в экосистему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мероприятия необходимо: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формирование венчурного совета, а также организацию и проведение его заседаний. Участие в венчурном совете позволит аккредитованным инвесторам получать больший объем информации о формировании экосистемы "Сколково" и активнее вовлекаться в ее создание, а также влиять на формирование инновационных приоритетов, гармонизацию внутренних процедур Фонда "Сколково" и требований инвестиционного сообщества;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мероприятия по расширению состава аккредитованных венчурных инвесторов (бизнес-ангелов, венчурных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формирование "мягких" обязательств венчурных инвесторов и их последующую конвертацию в инвестиции в компании участники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деятельность по формированию сообщества партнеров инновационного центра "Сколково" включает в себя следующие направления.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Приоритезация индустриальных партнеров в соответствии с технологическими платформами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взаимодействие с индустриальными партнерами: адресное привлечение партнеров в соответствии с приоритетными направлениями деятельности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партнерами на основании индивидуальных планов, в том числе через создание центров НИОКР по приоритетным областям, обеспечение наставничества участникам проекта "Сколково", инвестиции, создание возможностей для стажировок и работы магистрантов и слушателей PhD программ и молодых ученых; обеспечить привлечение индустриальных </w:t>
      </w:r>
      <w:r>
        <w:rPr>
          <w:rFonts w:ascii="Calibri" w:hAnsi="Calibri" w:cs="Calibri"/>
        </w:rPr>
        <w:lastRenderedPageBreak/>
        <w:t>партнеров к формированию и актуализации "форсайтов" кластеров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Приоритезация венчурных инвесторов по технологическим платформам кластеров: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взаимодействие с венчурными инвесторами по "форсайтам" с наибольшим потенциалом коммерциализации;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венчурных инвесторов к формированию и актуализации "форсайтов" кластеров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синхронизация параметров грантового финансирования и инвестиционных критериев аккредитованных венчурных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39" w:name="Par4242"/>
      <w:bookmarkEnd w:id="239"/>
      <w:r>
        <w:rPr>
          <w:rFonts w:ascii="Calibri" w:hAnsi="Calibri" w:cs="Calibri"/>
        </w:rPr>
        <w:t>1.5. Создание и развитие коммуникационной среды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"Виртуального Сколково"</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задач по формированию экосистемы "Сколково" является формирование сообщества "Сколково". Инновационный центр "Сколково" должен стать центром притяжения для талантливой молодежи, предпринимателей, исследователей, ученых,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привлечения кадров в экосистему важны на начальном этапе - до формирования "критической массы" и перехода экосистемы к саморазвитию.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Успех экосистемы "Сколково" (реально достигнутый или потенциально ожидаемый) - самый важный фактор привлечения квалифицированных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сообщества "Сколково" будет зависеть от типа инноваций, развиваемого в инновационном центре "Сколково". Сообщества формируются через особые формы связанности: когнитивную, институциональную и социальную. Результаты нескольких бенчмарк-исследований и экспертных интервью показали: прототипа для проектирования инновационной среды "Сколково" не существует: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сообщество "Сколково" уже сейчас должно формироваться и притягиваться к инновационному центру "Сколково", как на виртуальной, так и физической платформе.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данного мероприятия выполняются комплексные работы по развитию и расширению онлайн сообщества "Виртуальное Сколково" для охвата большей аудитории, продвижения идей инновационного центра "Сколково" и увеличения активности членов сообщества. Привлечение новых членов путем модификации традиционных сообществ в онлайн и присоединение или интеграция с сообществом "Виртуальное Сколково". Инструментами реализации являются различные мероприятия в формате конференций, семинаров, круглых столов и уникальные спецпроекты на базе telepresence, WebEx и т.п. Результатом является расширение сообщества "Виртуальное Сколково" и связей его членов между собой.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40" w:name="Par4252"/>
      <w:bookmarkEnd w:id="240"/>
      <w:r>
        <w:rPr>
          <w:rFonts w:ascii="Calibri" w:hAnsi="Calibri" w:cs="Calibri"/>
        </w:rPr>
        <w:t>1.6. Управление проектом "Сколково"</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управлению проектом "Сколково" включают в себя следующие направления.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офисной инфраструктурой: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аренду офисных помещений и парковок около офисного комплекса;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ремонта собственных и арендованных помещений;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коммунальных платежей, охраны, расходов на содержание офиса, расходов на поддержку оборудования;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мебели и оргтехники;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канцелярских принадлежностей, инвентаря;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и курьерские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подписку на периодику и он-лайн сервисы.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 поддержание ИТ систем: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лицензий;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развитие информационных систем;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компьютерного оборудования для подразделений Фонда, оснащение и оборудование новых площадок.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Координация деятельности корпоративных органов управления, то есть сопровождение Управляющих органов Фонда "Сколково" и Комитетов при них: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Консультативно-научный совет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Венчурный совет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Индустриально-консультативный совет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Грантовый комитет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Тендерный комитет Фонда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персоналом: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Фонда "Сколково" и дочерних обществ (ДО);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во внебюджетные фонды;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к месту работы и аренда жилья для приглашенных иностранных специалистов - работников Фонда "Сколково" и ДО;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добровольное медицинское страхование работников - работников Фонда "Сколково" и ДО;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страхование путешествующих по России и выезжающих за рубеж (для выезжающих в командировки работников - работников Фонда "Сколково" и ДО);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премий работникам Фонда "Сколково" и ДО по результатам оценки персонала;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выплаты и компенсации.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Консультационные и профессиональные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налоговых, финансовых, юридических консультантов;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агентств по подбору персонала;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переводу;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внешнему аудиту;</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консультационные услуги;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комиссии.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Командировочные и представительские расходы, а также затраты на прием делегаций и гостей.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по данному направлению рассчитывались на базе стратегии Фонда "Сколково", предполагающей переход к системе управления "Организатор" с постепенным снижением роли Фонда "Сколково" как управляющего экосистемой и переходу к роли координирующего.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"Об инновационном центре "Сколково" и </w:t>
      </w:r>
      <w:hyperlink r:id="rId270" w:history="1">
        <w:r>
          <w:rPr>
            <w:rFonts w:ascii="Calibri" w:hAnsi="Calibri" w:cs="Calibri"/>
            <w:color w:val="0000FF"/>
          </w:rPr>
          <w:t>Указом</w:t>
        </w:r>
      </w:hyperlink>
      <w:r>
        <w:rPr>
          <w:rFonts w:ascii="Calibri" w:hAnsi="Calibri" w:cs="Calibri"/>
        </w:rPr>
        <w:t xml:space="preserve"> Президента Российской Федерации "О Совете при Президенте Российской Федерации по модернизации экономики и инновационному развитию России" президиум Совета при Президенте Российской Федерации по модернизации экономики и инновационному развитию России определяет юридическое лицо, на которое возлагается реализация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а также в случаях, предусмотренных учредительными документами этого юридического лица, участвует в формировании его органов, согласовывает изменения, вносимые в его устав, определяет территорию, на которой реализуется проект.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 созданию и обеспечению функционирования инновационного центра "Сколково" возложена на управляющую компанию - Фонд развития Центра разработки и коммерциализации новых технологий (далее - Фонд).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 к его задачам отнесены: утверждение основных задач Фонда, осуществление надзора за его деятельностью и использованием имущества Фонда; согласование правил Проекта. Состав Попечительского Совета формируется президиумом Совета при Президенте Российской Федерации по модернизации экономики и инновационному развитию России. В состав Попечительского Совета входят представители органов государственной власти, институтов развития, а также Российской Академии Наук.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Фонда - к его компетенции относятся следующие полномочия: определение </w:t>
      </w:r>
      <w:r>
        <w:rPr>
          <w:rFonts w:ascii="Calibri" w:hAnsi="Calibri" w:cs="Calibri"/>
        </w:rPr>
        <w:lastRenderedPageBreak/>
        <w:t>приоритетных направлений и целей деятельности Фонда, принципов формирования и использования его имущества; изменение по согласованию с президиумом Совета при Президенте Российской Федерации по модернизации экономики и инновационному развитию России Устава Фонда; утверждение кандидатур членов Совета Фонда, Сопредседателей Совета Фонда, Президента Фонда, а также досрочное прекращение их полномочий; утверждение годового отчета и годового бухгалтерского баланса; утверждение бюджета Фонда; утверждение по согласованию с Попечительским Советом документов, содержащих правила Проекта; реорганизация Фонда и принятие решения об обращении в суд с заявлением о ликвидации Фонда. Решение о включении в Совет Фонда нового члена либо исключении из Совета Фонда его члена принимается Советом Фонда по согласованию с президиумом Совета при Президенте Российской Федерации по модернизации экономики и инновационному развитию России. В состав Совета Фонда входят руководители крупных российских и международных компаний, представители вузов и научных центров, финансовых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Единоличный исполнительный орган Фонда - действует от имени Фонда без доверенности; обеспечивает выполнение решений Совета Фонда и Попечительского Совета Фонда; руководит текущей деятельностью Фонда, в том числе издает приказы и дает указания, обязательные для всех работников Фонда; открывает счета Фонда в банках; определяет условия оплаты труда работников Фонда; утверждает штатное расписание и внутренние документы Фонда, назначает должностных лиц Фонда и освобождает их от должности; распоряжается имуществом и средствами Фонда; заключает договоры и совершает иные сделки; принимает решения о создании филиалов и открытии представительств Фонда, а также об участии Фонда в других юридических лицах, в том числе в хозяйственных обществах. Президент Фонда назначается на должность и освобождается от нее решением Совета Фонда.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(консультативными) органами Фонда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Консультативный научный Совет - координирует научную деятельность, осуществляемую в рамках Проекта; рекомендует к утверждению инновационные приоритеты исследовательской деятельности в рамках реализации Проекта; дает рекомендации по методологии проведения экспертизы проектов; в случаях, предусмотренных документами Фонда, осуществляет указанную экспертизу; дает рекомендации по взаимоотношениям с представителями научной общественности в целях привлечения их к реализации Проекта; организует конференции и семинары по направлениям, связанным с реализацией Проекта; дает рекомендации Совету Фонда в отношении перспективных направлений исследований и разработок, которые могут осуществляться в рамках Проекта; дает рекомендации Совету Фонда в отношении организации образовательной деятельности в рамках Проекта. Количественный состав КНС определяется Советом Фонда; персональный - Президентом Фонда с учетом мнения 2 Сопредседателей КНС, которые назначаются Советом Фонда. Консультативный научный Совет возглавляют Нобелевские лауреаты Ж. Алферов (вице-президент РАН) и Р. Корнберг (профессор Стэнфордского университета).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Совет - к его основным задачам относятся: выработка рекомендаций для Фонда в области градостроительства и архитектурно-строительного проектирования в целях создания и развития инновационной городской среды для принятия на их основе органами управления Фонда соответствующих решений, направленных на реализацию Проекта; рассмотрение и выдача рекомендаций по градостроительной концепции Центра; консультационное сопровождение деятельности Фонда в рамках градостроительства и архитектурно-строительного проектирования Центра; выработка рекомендаций по конкурсному отбору проектных и подрядных организаций, обеспечивающих реализацию Проекта. Количественный и персональный состав Градостроительного Совета утверждаются приказом Президента Фонда.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Индустриальный консультативный совет - в состав входят высшие руководители 19 крупных зарубежных и российских компаний. Цель работы совета - определение барьеров, возникающих при создании и реализации инновационных проектов в России и выработка рекомендаций по их преодолению.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Венчурный совет - в состав входят руководители 12 наиболее активно сотрудничающих с Фондом венчурных инвесторов. Совет создан для управления отношениями с инвестиционным </w:t>
      </w:r>
      <w:r>
        <w:rPr>
          <w:rFonts w:ascii="Calibri" w:hAnsi="Calibri" w:cs="Calibri"/>
        </w:rPr>
        <w:lastRenderedPageBreak/>
        <w:t>сообществом, в том числе для синхронизации действий с целями и бизнес-практикой аккредитованных при Фонде венчурных фондов.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Сколковский институт науки и технологий является независимой от Фонда организацией. Органами управления Сколковского института науки и технологий (далее - Института)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Состав участников включает представителей Фонда "Сколково", ведущих российских и зарубежных ВУЗов, научно-исследовательских институтов Российской Академии наук и зарубежных исследовательских организаций и программ, руководителей ведущих российских и зарубежных организаций, имеющих программы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и задачи: определение приоритетных направлений деятельности Института, принципов формирования и использования его имущества, утверждение финансового плана Института, годового отчета и годового бухгалтерского баланса, назначение Ректора Института и досрочное прекращение его полномочий, принятие решений об участии Института в других организациях, создание филиалов и открытие представительств Института, изменение устава Института, реорганизация и ликвидация Института.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Ректор. Основные функции и задачи: без доверенности действует от имени Института, представляет интересы Института в отношениях с государственными органами, органами местного самоуправления, общественными и иными организациями, руководит образовательной, научной, хозяйственной, финансовой и иной деятельностью Института на принципах единоначалия, распоряжается имуществом и средствами Института, открывает расчетные и иные счета Института, издает локальные акты Института в пределах своей компетенции, заключает договоры, соглашения от имени Института, выдает доверенности, устанавливает нормы нагрузки профессорско-преподавательского состава, утверждает годовые планы научно-исследовательских работ Института, отвечает за исполнение финансового плана Института и контролирует его исполнение, зачисляет и отчисляет обучающихся, заключает, изменяет и прекращает трудовые договоры с работниками Института, определяет их должностные обязанности, применяет меры поощрения и дисциплинарные взыскания.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(консультативными) органами Института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Международная консультативная группа. Состав участников включает ведущих профессоров, ученых, инженеров и предпринимателей, имеющих признанную репутацию в сфере преподавания, исследований и инноваций по направлениям Института: энергетические науки и технологии; ядерные науки и технологии; космические науки и технологии; информационные науки и технологии и биомедицинские науки и технологии.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и задачи: периодическое проведение независимого анализа и оценки каждой учебной, образовательной и исследовательской программы Института, работы Центра предпринимательства и инноваций и каждого Центра науки, исследований и инноваций (ЦНИО), а также образовательной, научной и исследовательской среды Института в целом; консультирование Института по вопросам улучшения качества образовательных и исследовательских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консультативная группа представляет отчеты по следующим темам: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качество и эффективность учебных программ, эффективность процесса набора учащихся, успеваемость магистрантов и слушателей PhD программ и качество их образования, трудоустройство выпускников;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эффективность и управление ЦНИО, поддержка исследовательской деятельности вне программ ЦНИО, развитие междисциплинарных исследований, технические условия для проведения исследований, пересечение фундаментальных и прикладных исследований, масштаб и эффективность российских и международных партнерств, исследовательские достижения Сколтеха в целом;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влияние исследовательской и образовательной деятельности на сферу инноваций и предпринимательства, эффективность Центра предпринимательства и инноваций, вклад исследовательских программ ЦНИО в развитие инноваций и технологий, сотрудничество ЦНИО с крупными российскими компаниями, место инновационной составляющей Сколтеха в общей концепции "Сколково" и инновационной экосистеме России и мира, экономическое влияние Сколтеха;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 компетенция и эффективность профессорско-преподавательского состава и </w:t>
      </w:r>
      <w:r>
        <w:rPr>
          <w:rFonts w:ascii="Calibri" w:hAnsi="Calibri" w:cs="Calibri"/>
        </w:rPr>
        <w:lastRenderedPageBreak/>
        <w:t>исследовательских групп, распределение персонала по дисциплинам, достижения в междисциплинарных исследованиях, планы профессионального развития, рамки полномочий, возможности карьерного роста.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6"/>
        <w:rPr>
          <w:rFonts w:ascii="Calibri" w:hAnsi="Calibri" w:cs="Calibri"/>
        </w:rPr>
      </w:pPr>
      <w:bookmarkStart w:id="241" w:name="Par4317"/>
      <w:bookmarkEnd w:id="241"/>
      <w:r>
        <w:rPr>
          <w:rFonts w:ascii="Calibri" w:hAnsi="Calibri" w:cs="Calibri"/>
        </w:rPr>
        <w:t>Контрольные события основного мероприятия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основного мероприятия предусмотрен мониторинг контрольных событий, достижение которых будет отражать поступательное развитие проекта в части создания инновационной среды.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Присвоение статуса участника 1000 стартапу, разместившемуся на территории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софинансирования по грантовым соглашениям составит не менее 60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Открытие пяти центров коллективного пользования Технопарка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Подписание соглашения о сотрудничестве с 45 индустриальными партнерами инновационного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Открытие 4 центров НИОКР на территории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Подписание соглашений об аккредитации со 100 венчурными фондов и инвесторами ранних стадий (в т.ч., частных инвесторов - бизнес-ангелов)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25 сделок по входу аккредитованных фондов и инвесторов ранних стадий в компании-участники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30 процентов студентов программы ОтУС вовлечены в экосистему (открыли свои стартапы, поступили в Сколтех, устроились на работу в компании участники, центры НИОКР ключевых партнеров и т.п.)</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6"/>
        <w:rPr>
          <w:rFonts w:ascii="Calibri" w:hAnsi="Calibri" w:cs="Calibri"/>
        </w:rPr>
      </w:pPr>
      <w:bookmarkStart w:id="242" w:name="Par4329"/>
      <w:bookmarkEnd w:id="242"/>
      <w:r>
        <w:rPr>
          <w:rFonts w:ascii="Calibri" w:hAnsi="Calibri" w:cs="Calibri"/>
        </w:rPr>
        <w:t>Показатели основного мероприятия</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основного мероприятия направлено на достижение следующих показателей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патентов, полученных на территории иностранных государств, включая США, Европу, Японию;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частных инвестиций, привлеченных в инновационную экосистему "Сколково", включая инвестиции в проекты компаний-участников и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компаний, участников проекта "Сколково", полученная от результатов исследовательской деятельности (накопленным итогом);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средних сроков коммерциализации проектов участников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вклад проекта "Сколково" в экономику Российской Федерации (накопленным итогом).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Нереализация данного мероприятия приведет к снижению инновационной активности, сокращению количества малых и средних мероприятий, занимающихся инновационной деятельностью. Тем самым не будут достигнуты цели и решены задачи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инновационной активности экосистемы зависит от объемов финансовых ресурсов, выделяемых на реализацию основного мероприятия "Создание и развитие инновационной среды". В базовом варианте финансирования экосистема достигает пика активности в 2014 году </w:t>
      </w:r>
      <w:hyperlink w:anchor="Par4805" w:history="1">
        <w:r>
          <w:rPr>
            <w:rFonts w:ascii="Calibri" w:hAnsi="Calibri" w:cs="Calibri"/>
            <w:color w:val="0000FF"/>
          </w:rPr>
          <w:t>(Приложение 1)</w:t>
        </w:r>
      </w:hyperlink>
      <w:r>
        <w:rPr>
          <w:rFonts w:ascii="Calibri" w:hAnsi="Calibri" w:cs="Calibri"/>
        </w:rPr>
        <w:t>, когда основная масса текущих исследовательских проектов выйдет на стадию зрелости. Однако отсутствие дополнительных ресурсов государственного финансирования не позволит привлечь внешнее софинансирование в объемах, достаточных для поддержания активности на достигнутом уровне, что приведет к отрицательной динамике по таким показателям экосистемы, как число заявок на регистрацию объектов интеллектуальной собственности и зарегистрированных объектов интеллектуальной собственности, созданных в инновационном центре "Сколково" и объем частных инвестиций, привлеченных в инновационную экосистему "Сколково", включая инвестиции в проекты компаний-участников и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43" w:name="Par4341"/>
      <w:bookmarkEnd w:id="243"/>
      <w:r>
        <w:rPr>
          <w:rFonts w:ascii="Calibri" w:hAnsi="Calibri" w:cs="Calibri"/>
        </w:rPr>
        <w:lastRenderedPageBreak/>
        <w:t>2. Создание и развитие Сколковского института науки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технологий</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мероприятия является создание и развитие в России новых компетенций в сфере исследований и разработок, инновационной деятельности, подготовки и профессионального совершенствования научных и инженерных кадров мирового уровня, формирования и апробации, новых для России моделей организации научной, образовательной и инновационной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на территории инновационного центра "Сколково" создается и развивается Сколковский институт науки и технологий. Этот институт является также основным источником компетенций и кадров для развития корпоративных исследований и инновационного предпринимательства на территории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института осуществляется в интересах развития российской промышленности, науки и образования и будет строиться на основе формирования эффективной кооперации с передовыми зарубежными исследовательскими организациями и привлечения ведущих мировых ученых.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основного мероприятия будет выполняться по следующим направлениям: развитие научно-образовательного и инновационного комплекса Сколтеха; поддержка создания и развития Сколтеха со стороны Массачусетского Технологического Института (далее - МТИ).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44" w:name="Par4349"/>
      <w:bookmarkEnd w:id="244"/>
      <w:r>
        <w:rPr>
          <w:rFonts w:ascii="Calibri" w:hAnsi="Calibri" w:cs="Calibri"/>
        </w:rPr>
        <w:t>2.1. Развитие научно-образовательного и инновационного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Сколтеха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научно-образовательного и инновационного комплекса Сколтеха ключевыми задачами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профессоров и специалистов мирового уровня для проведения исследований, реализации образовательных программ и создания инноваций по приоритетным для России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образовательных программ мирового уровня по востребованным направлениям, привлечение наиболее талантливых магистрантов и аспирантов;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международной научной, образовательной инновационной сети, эффективно участвующей в решении актуальных задач российской науки, образования и экономики;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трансфера знаний, технологий, практик и кадров в российские организации.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Сколтех выполняет фундаментальные и прикладные научные исследования и разработки, реализует магистерские и аспирантские образовательные программы, а также программы переподготовки и повышения квалификации. Важное место в деятельности института занимают программы по подготовке к инновационной деятельности, к реализации проектов в сфере малого инновационного предпринимательства и коммерциализации технологий. В рамках Сколтеха реализуются проекты по стимулированию инновационной деятельности, в том числе по развитию малого и среднего бизнеса. Сколтех содействует передаче компетенций, внедрению новейших научных достижений и технологий в российские университеты, научные организации и компании, подготовки для них наиболее востребованных кадров.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структурными единицами Сколтеха являются научные группы под руководством профессоров мирового уровня, включающие в свой состав исследователей (постдоков), аспирантов, магистрантов, технический персонал лабораторий.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 приглашаются профессора ведущих университетов и научных центров зарубежных стран и России, обладающие весомыми научными достижениями и развертывающие в Сколтехе перспективные исследования, которые значимы для российских компаний, исследовательских организаций и университетов. Важным элементом деятельности профессоров является разработка и реализация актуальных образовательных программ, руководство исследовательской работой магистрантов и аспирантов.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Целевое количество профессоров в Сколтехе составит 200 профессоров, из которых около 150 человек будут заняты в 15 исследовательских центрах, а остальные будут участвовать в междисциплинарных исследованиях.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Привлекательность Сколтеха для ведущих профессоров основана на пакетном предложении, которое включает следующие основные возможности.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Гарантированное финансовое обеспечение исследований на продолжительный срок, что дает возможность самостоятельно планировать структуру и задачи лаборатории (научной группы) в составе исследовательского центра. Гарантированные проекты дают возможность перенаправить усилия с написания заявок на гранты на научную деятельность. Для директоров исследовательских центров - это еще более амбициозная возможность, а именно, финансирование и координация работ нескольких научных групп.</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Квалифицированные научные кадры: хорошие условия для комплектования научных групп наиболее талантливыми магистрантами и аспирантами. Москва (и Россия в целом) считается привлекательным источником молодых кадров (прежде всего выпускники МФТИ, МГУ, НГУ и ряда других вузов). Сколтех ориентируется на наиболее привлекательные условия по заработной плате для молодых сотрудников (на уровне ведущих западных вузов), что позволяет осуществить практически любой набор из российских университетов, а также привлекать молодых сотрудников со всего мира.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на практические задачи: для профессоров, ориентированных на практическое применение результатов своих разработок, возможность прямой и долгосрочной работы с ведущими российскими промышленными компаниями является приоритетной. Профессорам предоставлен прямой доступ к руководству компаний, они привлечены к решению долгосрочных стратегических задач (например, к созданию и внедрению нового поколения композиционных материалов; к созданию нового поколения электрических и тепловых сетей; к созданию и внедрению принципиально новых технологий работы с трудно извлекаемыми запасами и т.п.), их исследования частично финансируются индустриальными компаниями. Для ряда профессоров это чрезвычайно привлекательная возможность работы на передовом крае прикладных исследований, часто труднодоступная в Америке и Европе из-за острой конкуренции университетов и профессоров за внимание ключевых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Материальные условия: заработная плата устанавливается с учетом относительно высокой стоимости жизни в Москве, рисков и особенностей Сколтеха, работающего по международным стандартам. В то же время российская налоговая система (по налогам на доходы физических лиц) для резидентов более благоприятна, чем в ведущих зарубежных странах. С учетом социального пакета для иностранных профессоров (плата за квартиру, за обучение детей и т.п.), в целом, гарантированное материальное обеспечение несколько выше стандартного международного предложения для данного профессора.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Наследие: для многих ученых очень привлекательным и уникальным является участие в создании нового вуза, возможность построения на "пустом месте", с "нуля". Для одних - это возможность оставить след в истории науки, для других - новая роль администрирования научного процесса, которая может вести к новым карьерным перспективам в дальнейшем.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Предпенсионный возраст: пенсионный возраст в Европе, Израиле и ряде других стран довольно низок (например, в Великобритании профессор обязан оставить свою позицию в возрасте 65 лет). Есть множество ярких примеров, когда, уйдя на пенсию в своем университете, ученые мирового имени переезжали в университеты Северной Америки (где нет таких ограничений) и вели продуктивную научную деятельность дополнительные 20 - 30 лет (физики Дирак и Робертс - два примера в череде известных ученых). У Сколтеха есть возможность привлечь звезд мирового уровня среди такой категории ученых.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Диаспора: многие ученые - представители диаспоры никогда бы не уехали из России, если бы у них были адекватные условия для занятия наукой. При создании условий, сравнимых с теми, которые у них есть на Западе, многие рассмотрят возможность вернуться. В ситуации усложнения иммиграционной политики западных стран, для наиболее активной возрастной категории ученых 40 - 50 лет встает вопрос о судьбе престарелых родителей, оставшихся в России. Возвращение этих ученых в Россию решает этот вопрос.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части ученых существенными являются и некоторые дополнительные возможности: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Благоприятная научная среда для кооперации и получения синергии работы разных школ. Возможность близкой работы с российскими научными школами, до сих пор не сильно включенными в международную кооперацию (прежде всего ведущими институтами РАН).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междисциплинарного сотрудничества внутри Сколтеха: в отличие от четкого деления на факультеты, характерного для большинства классических университетов, Сколтех предлагает новую модель построения вуза, при которой представители различных научных дисциплин имеют прямую возможность взаимодействовать на основе междисциплинарных центров (такая возможность общения и взаимодействия определяет успехи коллегиального построения Кембриджа и Оксфорда, с одной стороны, и построение программ в МТИ).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преподавательская нагрузка: для западных университетов характерна большая лекционная нагрузка, составление экзаменационных работ, проведение экзаменов и выставление оценок. Тот факт, что Сколтех предполагает только чтение специализированных магистерских и аспирантских курсов, делает его очень привлекательным в глазах ученых.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низкие бюрократические издержки в сравнении с устоявшимися американскими и европейскими университетами.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Европе: для ряда европейских профессоров, ищущих более привлекательные с научной и материальной точки зрения места, существенным аргументов является близость к Европе и вполне удовлетворительная логистика связей с Европой, в отличие от альтернативных мест в США.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мегаполиса: для части социально активных профессоров и их семей привлекательным является расположение в мегаполисе, в отличие от многих американских университетов, расположенных в небольших провинциальных городах.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общения с руководителями государства (вследствие прямого интереса Правительства Российской Федерации к проекту), участия в рабочих группах и советах, формирующих решения по развитию науки, является для части профессоров дополнительным позитивным аргументом.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Сколтеха стимулирует междисциплинарные исследования, взаимодействие различных научных школ, поиск практических приложений полученных научных результатов, тесное взаимодействие с активными и перспективными компаниями, как крупными, так и малыми, как российскими, так и международными.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Сколтехе серьезное внимание уделяется подготовке магистрантов и слушателей PhD программ в рамках программ предпринимательства и инноваций. Развиваются инструменты стимулирования инновационной деятельности профессоров, исследователей, магистрантов и слушателей PhD программ. Сколтех реализует долгосрочные исследовательские и образовательные программы в интересах ведущих компаний, использует все возможности для стимулирования трудоустройства выпускников в российских компаниях, научных и научно-образовательных организациях.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Важная роль отводится системе финансового обеспечения слушателей, которая будет включать как стипендию, так и заработную плату за исследовательскую деятельность. Выплата стипендии определяется учебной частью, размер и условия выплаты заработной платы за исследовательскую деятельность - профессорами исследовательского центра, в котором работает слушатель. На начальном этапе развития Сколтеха, до момента получения признаваемого рейтинга и неотработанности процессов перехода между исследовательскими центрами института будет установлено примерно равное соотношение между стипендией и заработной платой за исследовательскую деятельность. Наряду с финансовым обеспечением иностранные и иногородние магистранты и слушатели PhD программ получат пакет медицинского страхования и компенсацию на оплату жилья.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Сколтехе создается организационная система, гармонизированная с системами ведущих международных университетов, создаются творческие и материальные условия, привлекательные для ведущих мировых ученых. Важнейшей задачей Сколтеха является создание в своих рамках многонациональной культуры.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концентрации усилий по приоритетным направлениям, решения комплексных задач в интересах промышленности, в Сколтехе создаются исследовательские центры под руководством ведущих ученых, объединяющие усилия нескольких научных групп, а также привлекающие к </w:t>
      </w:r>
      <w:r>
        <w:rPr>
          <w:rFonts w:ascii="Calibri" w:hAnsi="Calibri" w:cs="Calibri"/>
        </w:rPr>
        <w:lastRenderedPageBreak/>
        <w:t>решению поставленных задач научные коллективы из других зарубежных и российских университетов и исследовательских центров. В рамках проектов создания и развития этих центров реализуется партнерство в области исследований, образования и инноваций с зарубежными и российскими университетами, научными организациями, промышленными компаниями, оборудуются лаборатории института, осуществляется подготовка персонала и реализация долгосрочных (до 7 лет) перспективных исследовательских проектов мирового уровня. Указанные исследовательские центры используются также для реализации широкого спектра образовательных программ, ориентированных на подготовку в Сколтехе кадров мирового уровня для российских вузов, научных организаций и корпораций, для стимулирования активности малых и средних инновационных предприятий.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организации типового исследовательского центра выполняются следующие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заключается соглашение с университетами-партнерами (одним или несколькими, в качестве партнеров могут быть выбраны как зарубежные, так и российские вузы) на совместные исследования и поддержку Сколтеха;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исследовательская инфраструктура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заключаются контракты с профессорами, а также непостоянными сотрудниками.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деятельности исследовательского центра будут публикации в научных изданиях, патенты, ноу-хау, стартапы (в том числе получившие статус участника проекта "Сколково"), реализация контрактов по заказам индустриальных компаний, а также разработка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данного основного мероприятия осуществляется следующая деятельность: развивается система международной научной экспертизы, в том числе для использования в рамках других мероприятий настоящей и других государственных программ; осуществляются работы по изучению и распространению передового мирового опыта организации исследований и разработок, подготовки кадров, организации работы университетов и научных организаций; проводятся исследования в сфере научной и промышленной политики, подготовки кадров в сфере науки и высоких технологий; реализуются мероприятия по привлечению ведущих зарубежных ученых для работы в российском секторе исследований и разработок и системе образования, а также иные мероприятия, стимулирующие развитие в России компетенций мирового уровня за счет повышения эффективности международного сотрудничества.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тематики научных исследований и направленности образовательных программ осуществляется с учетом мирового опыта, глобальных трендов, результатов прогнозирования, предложений профильных федеральных ведомств, российских промышленных компаний и других профильных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также проводится оснащение кампуса Сколтеха оборудованием, в соответствии с современной международной практикой создания новых исследовательских университетов.</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45" w:name="Par4391"/>
      <w:bookmarkEnd w:id="245"/>
      <w:r>
        <w:rPr>
          <w:rFonts w:ascii="Calibri" w:hAnsi="Calibri" w:cs="Calibri"/>
        </w:rPr>
        <w:t>2.2. Поддержка создания и развития Сколтеха со стороны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Массачусетского Технологического Института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задачей проекта создания Сколтеха является быстрое встраивание его в международные научно-образовательные сети мирового уровня, создание условий, позволяющих привлекать лучших зарубежных ученых, получать доступ в ведущие зарубежные лаборатории, прежде всего, по тем направлениям исследований, где Россия не обладает достаточным уровнем компетенций для реализации программ модернизации отраслей промышленности, науки и образования. Для создаваемого с "нуля" института это возможно только с использованием брэнда и поддержки одного из ведущих мировых университетов.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Фондом "Сколково" было заключено соглашение о такой поддержке с Массачусетским технологическим институтом. В 2012 году в рамках этого соглашения была получена поддержка в формировании гармонизированной с международной структуры Сколтеха, в привлечении ведущих мировых ученых и специалистов, в получении ряда научных, </w:t>
      </w:r>
      <w:r>
        <w:rPr>
          <w:rFonts w:ascii="Calibri" w:hAnsi="Calibri" w:cs="Calibri"/>
        </w:rPr>
        <w:lastRenderedPageBreak/>
        <w:t>образовательных компетенций. В рамках данного мероприятия эта работа продолжается в соответствии с заключенным соглашением, с учетом вносимых корректировок, направленных на повышение эффективности мероприятия.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создания Сколтеха осуществляется МТИ путем: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влияния и брэнда МТИ для привлечения ведущих ученых для работы в Сколтехе и для приобретения компетенций в научных лабораториях мирового класса других зарубежных университетов;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профессоров и сотрудников МТИ в передаче компетенций в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оригинальных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помощи в организации среды международного университета;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организации и участия в совместных исследованиях;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консультационной поддержки.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Сколтех формирует гармонизированную с международной практикой организационную, научную, образовательную и инновационную структуру, обеспечивается его включение в соответствующие международные сети.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основного мероприятия направлено на достижение следующих показателей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публикаций в журналах, индексируемых в "Сеть науки" (на 1 исследователя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выпускников Сколтеха, вовлеченных в инновационную деятельность.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по показателю "Число публикаций в журналах, индексируемых в "Сеть науки" (на 1 исследователя Сколтех) указаны, начиная с 2015 года, в связи с тем, что получение первых значимых результатов исследований, подготовка статей и принятие их к публикации в индексируемых научных журналах занимает значительное время.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нереализации данного основного мероприятия негативные последствия будут связаны со снижением исследовательской продуктивности фундаментальной и прикладной отечественной науки, отставанием России в этой сфере от зарубежных стран.</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4"/>
        <w:rPr>
          <w:rFonts w:ascii="Calibri" w:hAnsi="Calibri" w:cs="Calibri"/>
        </w:rPr>
      </w:pPr>
      <w:bookmarkStart w:id="246" w:name="Par4410"/>
      <w:bookmarkEnd w:id="246"/>
      <w:r>
        <w:rPr>
          <w:rFonts w:ascii="Calibri" w:hAnsi="Calibri" w:cs="Calibri"/>
        </w:rPr>
        <w:t>3. Создание и управление физической инфраструктурой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материально-технической базы для осуществления исследований и разработок, а также коммерциализации их результатов является необходимым условием выполнения целей подпрограммы. При формировании инфраструктуры территории Центра ставится задача по созданию благоприятных условий для трудовой деятельности, проживания и социально-бытового обслуживания лиц, участвующих в реализации проекта.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основное мероприятие состоит из двух комплексов мероприятий - строительства объектов недвижимости и Программы управления городом и общегородскими программами.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47" w:name="Par4416"/>
      <w:bookmarkEnd w:id="247"/>
      <w:r>
        <w:rPr>
          <w:rFonts w:ascii="Calibri" w:hAnsi="Calibri" w:cs="Calibri"/>
        </w:rPr>
        <w:t>3.1. Программа строительства объектов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комплекса мероприятий "Программа строительства объектов недвижимости" запланированы к выполнению следующие мероприятия на период до 2015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комплекса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исследовательского комплекса "Технопарк".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социальной инфраструктуры, включая гостевые объекты.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внутригородских систем инженерно-технического обеспечения.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 обеспечение строительной площадки, включая подготовку строительной площадки и обеспечение ее безопасности.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службы единого заказчика, в качестве которого выступает дочернее общество Фонда "Объединенная дирекция по управлению активами и сервисами Центра разработки и коммерциализации новых технологий (инновационного центра "Сколково")", отвечающее за организацию и осуществление строительных работ.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инфраструктуры территории Центра осуществляется в два этапа. На первом этапе создается материально-техническая база для деятельности участников проекта "Сколково" и </w:t>
      </w:r>
      <w:r>
        <w:rPr>
          <w:rFonts w:ascii="Calibri" w:hAnsi="Calibri" w:cs="Calibri"/>
        </w:rPr>
        <w:lastRenderedPageBreak/>
        <w:t>Сколтеха, которая включает в себя: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зданий для размещения участников проекта "Сколково" (офисно-лабораторный комплекс "Технопарк");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Сколтеха;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очередь апартаментов для участников проекта "Сколково", магистрантов и слушателей PhD программ и преподавателей Сколтеха, необходимые объекты социально-бытовой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формируют "ядро" инфраструктуры инновационного центра "Сколково", необходимое для начала его функционирования. Объекты, входящие в состав "ядра" инфраструктуры, предназначены для осуществления образовательной и исследовательской деятельности (Сколтех), осуществления ранних этапов научно-исследовательских и опытно-конструкторских разработок (офисно-лабораторный комплекс "Технопарк"). Данные виды деятельности являются необходимым условием функционирования инновационного центра "Сколково", создают основу для разработки и коммерциализации новых продуктов и технологий, но сами по себе не обеспечивают возврат на вложенные инвестиции в среднесрочной перспективе. В этой связи проектирование и строительство объектов, входящих в "ядро" инфраструктуры инновационного центра "Сколково", осуществляется за счет средств субсидии, полученной из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объектов, входящих в "ядро" инфраструктуры, первый этап включает в себя объекты, предназначенные для осуществления исследовательской и коммерческой деятельности ключевых партнеров Центра, осуществления поздних этапов НИОКР и коммерциализации их результатов. Данные объекты возводятся за счет средств сторонних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элементом первого этапа являются объекты инженерной и транспортной инфраструктуры, включающие в себя как объекты на территории инновационного центра "Сколково", так и объекты за его пределами (в частности, подводящие магистральные сети, внешние транспортные развязки и др.). Данные объекты создаются как за счет средств субсидии, полученной из федерального бюджета, так и за счет средств внешних инвесторов. Строительство объектов инженерной и транспортной инфраструктуры инновационного центра "Сколково" осуществляется как за счет средств Фонда "Сколково", так и за счет бюджета города Москвы, а также иных ведомств и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происходит дальнейшее развитие инфраструктуры инновационного центра "Сколково", включая объекты для исследований и разработок, апартаменты для проживания лиц, участвующих в реализации проекта "Сколково", необходимые объекты социально-бытовой инфраструктуры. Данные объекты будут возводиться в условиях коммерчески привлекательной инновационной среды, сложившейся на первом этапе, за счет средств сторонних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назначением объектов недвижимости инвесторов можно разделить на три типа: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Ключевые партнеры инновационного центра "Сколково", которые приняли решение строить собственные объекты для размещения исследовательских подразделений компаний. Также отдельные Ключевые партнеры планируют реализовать проекты по строительству апартаментов для проживания и социально-бытовой инфраструктуры для своих сотрудников.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Девелоперы: независимые инвесторы - победители инвестиционных конкурсов, которые строят отдельные объекты (исследовательские центры, апартаменты для проживания, объекты социально-бытовой инфраструктуры) для сдачи в аренду лицам, участвующим в реализации проекта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Инвесторы в объекты инженерной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социально-бытовой инфраструктуры инновационного центра "Сколково" включает в себя, в том числе, создание системы здравоохранения города (первичное медицинское обслуживание на базе системы "Семейный доктор", экстренную помощь, диагностику и вспомогательные услуги, службу скорой медицинской помощи) и системы образования (услуги по сопровождению раннего развития, а также систему школьного образования по государственному стандарту и международным программам, и программы дополнительного образования для детей и взрослых и адаптационные программы для иностранцев), спортивных комплексов и сооружений. Важным элементом городской инфраструктуры, ориентированным как на создание </w:t>
      </w:r>
      <w:r>
        <w:rPr>
          <w:rFonts w:ascii="Calibri" w:hAnsi="Calibri" w:cs="Calibri"/>
        </w:rPr>
        <w:lastRenderedPageBreak/>
        <w:t>инновационного сообщества "Сколково", так и на привлечение в инновационный центр "Сколково" креативной молодежи, станет Культурный центр "Сколково". В данном центре планируется проведение различных по формату культурных и информационных мероприятий, размещение медиа библиотеки и пространства для совместной творческой деятельности (так называемый coweringspace), художественные и творческие мастерские, клубы и ассоциации, курсы иностранных языков и русского языка как иностранного. Этот объект позволит также усилить интеграцию инновационного центра "Сколково" и города Москвы.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2015 года важной задачей управляющей компании становится осуществление функций муниципального управления инновационным центром.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"Об инновационном центре "Сколково" управляющая компания отвечает за организацию (создание условий) для предоставления основных услуг городской инфраструктуры (транспортные, коммунальные услуги, дошкольное и общее образование, медицинская помощь, связь, торговля и пр.). Вместе с тем, Федеральный </w:t>
      </w:r>
      <w:hyperlink r:id="rId272" w:history="1">
        <w:r>
          <w:rPr>
            <w:rFonts w:ascii="Calibri" w:hAnsi="Calibri" w:cs="Calibri"/>
            <w:color w:val="0000FF"/>
          </w:rPr>
          <w:t>закон</w:t>
        </w:r>
      </w:hyperlink>
      <w:r>
        <w:rPr>
          <w:rFonts w:ascii="Calibri" w:hAnsi="Calibri" w:cs="Calibri"/>
        </w:rPr>
        <w:t xml:space="preserve"> "Об инновационном центре "Сколково" не предусматривает полномочий управляющей компании по взиманию налогов или иных сборов на территории инновационного центра "Сколково". Осуществление управляющей компанией муниципальных функций потребует субсидирования ее деятельности за счет средств федерального или иных уровней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5"/>
        <w:rPr>
          <w:rFonts w:ascii="Calibri" w:hAnsi="Calibri" w:cs="Calibri"/>
        </w:rPr>
      </w:pPr>
      <w:bookmarkStart w:id="248" w:name="Par4440"/>
      <w:bookmarkEnd w:id="248"/>
      <w:r>
        <w:rPr>
          <w:rFonts w:ascii="Calibri" w:hAnsi="Calibri" w:cs="Calibri"/>
        </w:rPr>
        <w:t>3.2. Программа управления городом и общегородские 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управления городом и общегородские программы состоит из следующих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осуществление муниципальных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осуществление социальных функций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Прочие мероприятия и общегородские затраты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организации и развития в последующем услуг на территории инновационного центра "Сколково" будет выполнена работа по следующим направлениям в составе мероприятия "развитие и управление городом":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обеспечение эксплуатации объектов инфраструктуры и предоставления на ее базе соответствующих услуг,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концептуальных принципов оказания услуг на территории инновационного центра "Сколково" физическим и юридическим лицам;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проекта и правил эксплуатации объектов инфраструктуры и предоставления на ее базе соответствующих услуг (в составе Правил проекта или в виде отдельных документов);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стандартов качества услуг образования, здравоохранения, жилищных и прочих услуг физическим и юридическим лицам, содержащих требования к параметрам и условиям оказания (платность/бесплатность для разных групп потребителей)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с органами государственной власти Российской Федерации, осуществляющих свою деятельность на территории инновационного центра "Сколково", об условиях их размещения на территории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с органами государственной власти и органами местного самоуправления города Москвы, иных публично-правовых образований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операторов объектов инфраструктуры и операторов услуг, заключение с ними договоров,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способах управления объектами инфраструктуры;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управляющей компанией организаций, осуществляющих управление объектами инфраструктуры инновационного центра "Сколково" (операторов объектов) и организаций, осуществляющих предоставление социальных услуг, услуг шаговой доступности на базе соответствующих объектов (операторов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управляющей компанией договоров с организациями, осуществляющими управление объектами инфраструктуры инновационного центра "Сколково" (операторами объектов) и организаций, осуществляющими предоставление социальных услуг, услуг шаговой </w:t>
      </w:r>
      <w:r>
        <w:rPr>
          <w:rFonts w:ascii="Calibri" w:hAnsi="Calibri" w:cs="Calibri"/>
        </w:rPr>
        <w:lastRenderedPageBreak/>
        <w:t>доступности на базе соответствующих объектов (операторами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передачи операторам объектов инфраструктуры, дочерним обществам управляющей компании, федеральным органам государственной власти Российской Федерации, прочим юридическим лицам соответствующих объектов инфраструктуры на праве аренды и доверительного управления.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институтов оперативного и стратегического управления системой эксплуатации объектов инфраструктуры и предоставления услуг в инновационном центре "Сколково",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составе управляющей компании организационной структуры оперативного и стратегического управления системой эксплуатации объектов инфраструктуры и предоставления услуг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и организационное обеспечение системы финансирования расходов управляющих компаний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и организационное обеспечение системы отчисления средств на восстановление объектов инфраструктуры, построенных (созданных) за счет средств субсидии и находящихся на балансе Фонда "Сколково" и/или его дочерних обществ;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условий деятельности дочерних обществ управляющей компании для управления объектами инфраструктуры и оказания услуг, признанных коммерчески непривлекательными и отнесенными к категории объектов, передаваемых дочерним обществам;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с федеральными органами государственной власти Российской Федерации, органами государственной власти города Москвы о софинансировании расходных обязательств по предоставлению на территории инновационного центра "Сколково" услуг физическим и юридическим лицам на бесплатной и льготной основе.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текущим функционированием экономики инновационного центра "Сколково", компенсацией возникающих дисбалансов, в том числе: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текущим функционированием экономики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Правил проекта и иных нормативных документов инновационного центра "Сколково", регулирующих использование объектов инфраструктуры, предоставление услуг, прочие аспекты экономической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инновационного центра "Сколково" будет также обеспечено предоставление необходимых государственных услуг, предоставляемых Федеральной налоговой службой, Федеральной миграционной службой, Федеральной службой по интеллектуальной собственности (Роспатент)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"Об инновационном центре "Сколково" на уровне стандартов, принятых в инновационном центре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Контрольными событиями по данному основному мероприятию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завершения строительства объектов в соответствии с планом развития территории: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первой очереди комплекса Сколтех к 31 декабря 2015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комплекса "Технопарк" к 31 декабря 2014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апарт-отелей (кварталы 9 - 11 района D2) к 31 декабря 2014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семейного кампуса D2 к 31 января 2015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поликлиники к 31 января 2015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объекта "Старшая школа" к 31 декабря 2016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систем инженерно-технического обеспечения инновационного центра "Сколково" к 31 декабря 2014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денежных средств на счета Фонда "Сколково" от возврата НДС.</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эффективности мероприятия является Коэффициент пригодности инновационного центра для жизни и работы (Коэффициент счастья).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49" w:name="Par4480"/>
      <w:bookmarkEnd w:id="249"/>
      <w:r>
        <w:rPr>
          <w:rFonts w:ascii="Calibri" w:hAnsi="Calibri" w:cs="Calibri"/>
        </w:rPr>
        <w:t>IV. Характеристика мер государственного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налогового &lt;1&gt; и таможенного регулирования &lt;2&gt;.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Согласно </w:t>
      </w:r>
      <w:hyperlink r:id="rId274" w:history="1">
        <w:r>
          <w:rPr>
            <w:rFonts w:ascii="Calibri" w:hAnsi="Calibri" w:cs="Calibri"/>
            <w:color w:val="0000FF"/>
          </w:rPr>
          <w:t>п. 1 ст. 145.1</w:t>
        </w:r>
      </w:hyperlink>
      <w:r>
        <w:rPr>
          <w:rFonts w:ascii="Calibri" w:hAnsi="Calibri" w:cs="Calibri"/>
        </w:rPr>
        <w:t xml:space="preserve">, </w:t>
      </w:r>
      <w:hyperlink r:id="rId275" w:history="1">
        <w:r>
          <w:rPr>
            <w:rFonts w:ascii="Calibri" w:hAnsi="Calibri" w:cs="Calibri"/>
            <w:color w:val="0000FF"/>
          </w:rPr>
          <w:t>п. 1 ст. 246.1</w:t>
        </w:r>
      </w:hyperlink>
      <w:r>
        <w:rPr>
          <w:rFonts w:ascii="Calibri" w:hAnsi="Calibri" w:cs="Calibri"/>
        </w:rPr>
        <w:t xml:space="preserve">, </w:t>
      </w:r>
      <w:hyperlink r:id="rId276" w:history="1">
        <w:r>
          <w:rPr>
            <w:rFonts w:ascii="Calibri" w:hAnsi="Calibri" w:cs="Calibri"/>
            <w:color w:val="0000FF"/>
          </w:rPr>
          <w:t>п. 20</w:t>
        </w:r>
      </w:hyperlink>
      <w:r>
        <w:rPr>
          <w:rFonts w:ascii="Calibri" w:hAnsi="Calibri" w:cs="Calibri"/>
        </w:rPr>
        <w:t xml:space="preserve"> и </w:t>
      </w:r>
      <w:hyperlink r:id="rId277" w:history="1">
        <w:r>
          <w:rPr>
            <w:rFonts w:ascii="Calibri" w:hAnsi="Calibri" w:cs="Calibri"/>
            <w:color w:val="0000FF"/>
          </w:rPr>
          <w:t>21 ст. 381</w:t>
        </w:r>
      </w:hyperlink>
      <w:r>
        <w:rPr>
          <w:rFonts w:ascii="Calibri" w:hAnsi="Calibri" w:cs="Calibri"/>
        </w:rPr>
        <w:t xml:space="preserve">, </w:t>
      </w:r>
      <w:hyperlink r:id="rId278" w:history="1">
        <w:r>
          <w:rPr>
            <w:rFonts w:ascii="Calibri" w:hAnsi="Calibri" w:cs="Calibri"/>
            <w:color w:val="0000FF"/>
          </w:rPr>
          <w:t>п. 10 ст. 395</w:t>
        </w:r>
      </w:hyperlink>
      <w:r>
        <w:rPr>
          <w:rFonts w:ascii="Calibri" w:hAnsi="Calibri" w:cs="Calibri"/>
        </w:rPr>
        <w:t xml:space="preserve"> НК РФ.</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На основании </w:t>
      </w:r>
      <w:hyperlink r:id="rId27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5 мая 2011 г. N 339 "О предоставлении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проекта, применяющих общую систему налогообложения, предусмотрены следующие льготы: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обязанностей налогоплательщика по налогу на прибыль;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обязанностей налогоплательщика по налогу на добавленную стоимость (кроме НДС, уплачиваемого при ввозе товаров в Российскую Федерацию);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налогом на имущество организаций;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пониженный тариф страховых взносов - 14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лицам участвующим в реализации проекта осуществляется возмещение затрат по уплате ввозной таможенной пошлины и налога на добавленную стоимость в отношении товаров, ввозимых для целей их использования при строительстве, оборудовании и техническом оснащении объектов недвижимости в центре "Сколково" или необходимых участникам проекта для осуществления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применения мер налогового и таможенного регулирования является повышение привлекательности и создания благоприятных условий для развития инновационных стартапов и превращения их в самостоятельные технологические компании.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предусматривается осуществление мер правового регулирования.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w:t>
      </w:r>
      <w:hyperlink r:id="rId28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 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а также иных лиц,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как это предусмотрено в </w:t>
      </w:r>
      <w:hyperlink r:id="rId281" w:history="1">
        <w:r>
          <w:rPr>
            <w:rFonts w:ascii="Calibri" w:hAnsi="Calibri" w:cs="Calibri"/>
            <w:color w:val="0000FF"/>
          </w:rPr>
          <w:t>части 4 статьи 13</w:t>
        </w:r>
      </w:hyperlink>
      <w:r>
        <w:rPr>
          <w:rFonts w:ascii="Calibri" w:hAnsi="Calibri" w:cs="Calibri"/>
        </w:rPr>
        <w:t xml:space="preserve"> Федерального закона от 25 июля 2002 г. N 115-ФЗ "О правовом положении иностранных граждан в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282" w:history="1">
        <w:r>
          <w:rPr>
            <w:rFonts w:ascii="Calibri" w:hAnsi="Calibri" w:cs="Calibri"/>
            <w:color w:val="0000FF"/>
          </w:rPr>
          <w:t>закон</w:t>
        </w:r>
      </w:hyperlink>
      <w:r>
        <w:rPr>
          <w:rFonts w:ascii="Calibri" w:hAnsi="Calibri" w:cs="Calibri"/>
        </w:rPr>
        <w:t xml:space="preserve"> "Об инновационном центре "Сколково" в части: предоставления возможности одновременного лицензирования Сколковского института науки и технологий и государственной аккредитации в рамках деятельности Фонда Сколково, в целях создания условий для деятельности Сколковского института науки и технологий, а также обеспечения гарантий магистрантам и слушателям PhD программ Сколковского института науки и технологий в том числе, в части отсрочки от призыва в армию; включения положения о том, что устав образовательной организации, а также вносимые в него изменения могут утверждаться не только его учредителем, но и высшим органом управления организации; включения положения о том, что руководитель образовательной организации может назначаться не только ее учредителем, но и ее высшим органом управления; включения положения о том, что в частных образовательных организациях на территории инновационного центра "Сколково" должность президента может учреждаться при отсутствии ученого совета по решению высшего органа управления; уточнения, что порядок приема в вузы на территории инновационного центра "Сколково", а также перечень вступительных испытаний при приеме на обучение в них устанавливаются ими самостоятельно в соответствии с правилами осуществления образовательной деятельности, утверждаемыми Фондом "Сколково" как управляющей компанией.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Внесение изменений в Федеральный </w:t>
      </w:r>
      <w:hyperlink r:id="rId283" w:history="1">
        <w:r>
          <w:rPr>
            <w:rFonts w:ascii="Calibri" w:hAnsi="Calibri" w:cs="Calibri"/>
            <w:color w:val="0000FF"/>
          </w:rPr>
          <w:t>закон</w:t>
        </w:r>
      </w:hyperlink>
      <w:r>
        <w:rPr>
          <w:rFonts w:ascii="Calibri" w:hAnsi="Calibri" w:cs="Calibri"/>
        </w:rPr>
        <w:t xml:space="preserve"> "Об инновационном центре "Сколково" в части переноса сроков вступления в силу </w:t>
      </w:r>
      <w:hyperlink r:id="rId284" w:history="1">
        <w:r>
          <w:rPr>
            <w:rFonts w:ascii="Calibri" w:hAnsi="Calibri" w:cs="Calibri"/>
            <w:color w:val="0000FF"/>
          </w:rPr>
          <w:t>пункта 2 части 2 статьи 10</w:t>
        </w:r>
      </w:hyperlink>
      <w:r>
        <w:rPr>
          <w:rFonts w:ascii="Calibri" w:hAnsi="Calibri" w:cs="Calibri"/>
        </w:rPr>
        <w:t xml:space="preserve"> о соблюдении условия постоянного размещения постоянно действующего исполнительного органа юридического лица, а также иных органов или лиц, имеющих право действовать от имени юридического лица без доверенности.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285" w:history="1">
        <w:r>
          <w:rPr>
            <w:rFonts w:ascii="Calibri" w:hAnsi="Calibri" w:cs="Calibri"/>
            <w:color w:val="0000FF"/>
          </w:rPr>
          <w:t>закон</w:t>
        </w:r>
      </w:hyperlink>
      <w:r>
        <w:rPr>
          <w:rFonts w:ascii="Calibri" w:hAnsi="Calibri" w:cs="Calibri"/>
        </w:rPr>
        <w:t xml:space="preserve"> "О науке и государственной научно-технической политике" и в Налоговой </w:t>
      </w:r>
      <w:hyperlink r:id="rId286" w:history="1">
        <w:r>
          <w:rPr>
            <w:rFonts w:ascii="Calibri" w:hAnsi="Calibri" w:cs="Calibri"/>
            <w:color w:val="0000FF"/>
          </w:rPr>
          <w:t>кодекс</w:t>
        </w:r>
      </w:hyperlink>
      <w:r>
        <w:rPr>
          <w:rFonts w:ascii="Calibri" w:hAnsi="Calibri" w:cs="Calibri"/>
        </w:rPr>
        <w:t xml:space="preserve"> Российской Федерации в части предоставления Сколковскому институту науки и технологий прав на осуществление совместных исследовательских программ и режима налогообложения указанной деятельности, аналогичных установленным для иных российских высших учебных заведений.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287" w:history="1">
        <w:r>
          <w:rPr>
            <w:rFonts w:ascii="Calibri" w:hAnsi="Calibri" w:cs="Calibri"/>
            <w:color w:val="0000FF"/>
          </w:rPr>
          <w:t>закон</w:t>
        </w:r>
      </w:hyperlink>
      <w:r>
        <w:rPr>
          <w:rFonts w:ascii="Calibri" w:hAnsi="Calibri" w:cs="Calibri"/>
        </w:rPr>
        <w:t xml:space="preserve"> "Об инновационном центре "Сколково" в части предоставления Сколковскому институту науки и технологий права собственности на помещения, используемые для ведения образовательной, исследовательской и инновационной деятельности в рамках инфраструктуры территории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0" w:name="Par4501"/>
      <w:bookmarkEnd w:id="250"/>
      <w:r>
        <w:rPr>
          <w:rFonts w:ascii="Calibri" w:hAnsi="Calibri" w:cs="Calibri"/>
        </w:rPr>
        <w:t>V. Прогноз 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предусматривается.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1" w:name="Par4506"/>
      <w:bookmarkEnd w:id="251"/>
      <w:r>
        <w:rPr>
          <w:rFonts w:ascii="Calibri" w:hAnsi="Calibri" w:cs="Calibri"/>
        </w:rPr>
        <w:t>VI. Характеристика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в случае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их участия в разработке и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предусматривается.</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2" w:name="Par4512"/>
      <w:bookmarkEnd w:id="252"/>
      <w:r>
        <w:rPr>
          <w:rFonts w:ascii="Calibri" w:hAnsi="Calibri" w:cs="Calibri"/>
        </w:rPr>
        <w:t>VII. Информация об участии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участием, общественных, научных и иных организаций,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"РОСНАНО",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инфраструктурных и образовательных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"Российская венчурная компания",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"МСП Банк",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участвующие в деятельности технологических платформ, перечень которых утвержден Правительственной комиссии по высоким технологиям и инновациям,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входящие в Соглашение о взаимодействии институтов развития и заинтересованных организаций в сфере обеспечения непрерывного финансирования инновационных проектов на всех стадиях инновационного цикла от 6 апреля 2010 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академия наук;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принимающие участие в реализации проекта "Сколково".</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3" w:name="Par4530"/>
      <w:bookmarkEnd w:id="253"/>
      <w:r>
        <w:rPr>
          <w:rFonts w:ascii="Calibri" w:hAnsi="Calibri" w:cs="Calibri"/>
        </w:rPr>
        <w:t>VIII. Обоснование объема финансовых ресурсов, необходимых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следующее распределение финансовых ресурсов по направлениям реализации подпрограммы в 2013 - 2020 гг.: финансирование подпрограммы за счет средств федерального бюджета составит 135614,07 млн. рублей (в том числе 125213,05 млн. рублей действующих расходных обязательств и 10401,02 млн. рублей дополнительных ресурсов), </w:t>
      </w:r>
      <w:r>
        <w:rPr>
          <w:rFonts w:ascii="Calibri" w:hAnsi="Calibri" w:cs="Calibri"/>
        </w:rPr>
        <w:lastRenderedPageBreak/>
        <w:t>финансирование за счет внебюджетных средств составит 416923,22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финансирования в рамках основных мероприятий подпрограммы предполагается выполнить следующим образом: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инновационной среды" - 56971,00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Сколковского института науки и технологий" - 41877,19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 - 36765,89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Детальная информация по расчету необходимых объемов финансирования для основных мероприятий подпрограммы представлена ниже.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развитие инновационной среды" включает в себя мероприятия по привлечению целевых групп исследователей, ученых предпринимателей, финансистов в экосистему Сколково, формирование инновационного сообщества нового формата, создание системы необходимой лабораторной инфраструктуры. Период реализации основного мероприятия составляет 2013 - 2020 годы.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предполагается выделение из федерального бюджета средств в размере 56971,00 млн. рублей и 289440,78 млн. рублей внебюджетного финансирования.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средства направляются на финансирование следующего набора мероприятий: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"Привлечение исследователей и предпринимателей в инновационный центр, отбор проектов и мониторинг их реализации, содействие в коммерциализации разработок" предполагается расходование средств на деятельность, связанную с продвижением проекта инновационного центра, а также основными функциями по формированию и поддержанию инновационной среды (грантовая комиссия, экспертизы на статус участника и грант).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"Грантовая поддержка исследовательских проектов" предполагается предоставление участникам Проекта "Сколково" безвозмездных грантов. Порядок выделения и параметры грантового финансирования определяются внутренними документами Фонда, в том числе, Грантовой политикой.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Грантовое финансирование предоставляется при условии привлечения соинвестиций от сторонних инвесторов, таких как венчурные фонды и ключевые партнеры, которые могут осуществлять взносы в капиталы компаний-участников.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грантополучателей и объемы грантовой поддержки участников проекта "Сколково" со стороны Фонда "Сколково" на период с 2014 по 2020 годы были рассчитаны с учетом следующих факторов: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проектов участников проекта "Сколково" в части увеличения потенциала коммерциализации и привлекательности для внешних инвесторов (за счет улучшения инновационной инфраструктуры, которое позволит добиваться более высокого "выживания" в экосистеме "успешных" проектов, а также оптимизации механизмов ротации из проекта "Сколково" "неуспешных"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ориентации грантовой поддержки в сторону компаний 1 и 2 стадии (проектов наиболее рисковых и в наибольшей степени нуждающихся в грантовой поддержке для дальнейшего своего развития), что будет приводить к снижению среднего размера гранта;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доли софинансирования проектов, за счет роста "качества" проектов, формирования критической массы "историй успеха" и успешных выходов из проекта венчурных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грантовой поддержки проектов участников с 2015 года составит около 4,5 млрд. рублей ежегодно и будет распределяться следующим образом: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300 млн. рублей на поддержку минигрантами 60 - 100 участников ежегодно для поддержки начинающих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1850 млн. рублей будут выдаваться новым грантополучателям по "Стадиям 1 и 2", при этом их количество будет составлять около 100 - 125 (средний размер выплаты в первом году около 18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около 250 млн. рублей будет направлено на выдачу новых грантов ЦПИ, а также, в </w:t>
      </w:r>
      <w:r>
        <w:rPr>
          <w:rFonts w:ascii="Calibri" w:hAnsi="Calibri" w:cs="Calibri"/>
        </w:rPr>
        <w:lastRenderedPageBreak/>
        <w:t>исключительных случаях, на поддержку особо значимых проектов "Стадии 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средства (около 2100 млн. рублей) будут направляться на финансирование переходящих обязательств по грантам.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общее количество грантополучателей на конец каждого года будет варьироваться в диапазоне 250 - 300. При этом общее количество участников Проекта прогнозируется в диапазоне около 1000 компаний.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грантов проектам "Стадии 1 - 3" проводится при условии привлечения внешнего софинансирования, минимальная требуемая доля софинансирования составляет: 25 процентов для проектов "Стадии 1", 50 процентов для проектов "Стадии 2", 75 процентов для проектов "Стадии 3".</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проектов участников вне грантов предполагаются следующие: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учредителей (в т.ч. материнских компаний для спин-офов ключевых партнеров);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инвестиции от аккредитованных венчурных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проведения исследовательской деятельности в рамках контрактов с ключевыми партнерами и иными заказчиками исследовательской деятельности;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нераспределенная прибыль от реализации предыдущих инновационных проектов;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 том числе, финансирование от партнерских институтов развития (ОАО "РВК", ОАО "РОСНАНО", Фонда содействия развитию малых форм предприятий в научно-технической сфере).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"Создание исследовательской среды и сервисной инфраструктуры инновационного центра" предполагается использование средств на закупку и модернизацию оборудования для центров коллективного пользования Технопарка, а также развитие сервисной среды, в том числе финансирование дефицитных сервисов и услуг.</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"Привлечение индустриальных и финансовых партнеров в инновационный центр" предполагается использование средств на проведение совместных мероприятий с индустриальными и финансовыми партнерами (в том числе, организация и участие в значимых конференциях, проведение заседаний венчурного и индустриального совета).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"Создание и развитие коммуникационной среды и "Виртуального Сколково" предполагается развитие в рамках экосистемы инновационного центра "Сколково" онлайн-сообщества людей, разделяющих ценности инноваций и активно вовлеченных в развитие экосистемы технологического предпринимательства. "Виртуальное Сколково" решает задачи, связанные с привлечением новых участников сообщества в целях построения и развития нематериальной среды, предоставлением широкого спектра сервисов в электронном виде для участников сообщества; взаимодействием с традиционными профессиональными сообществами.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указанных задач в рамках данного мероприятия ведется работа по следующим направлениям: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портала онлайн-сообщества "Виртуальное Сколково" - направлено на увеличение интернет-аудитории портала онлайн-сообщества, оптимизацию работы с информацией об участниках проекта "Сколково", расширение общего функционала портала по предоставлению информации и разработает специальный унифицированный интерфейс для дальнейшего использования в интеграционных проектах;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сообщества - направлено на расширение представления информации об участниках проекта "Сколково" на профильных площадках сети "Интернет", информирование членов сообщества о планируемых открытых мероприятиях, опубликованных во внешней системе, проведение оценки и автоматического профилирования проектов инновационного центра "Сколково" в профессиональном сообществе.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"Управление Проектом "Сколково" финансируются расходы, связанные с организацией и управлением проектом создания и развития Инновационного центра "Сколково": юридическая служба, высший менеджмент, учет, казначейство, закупки, АХО.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"Создание и развитие Сколковского института науки и технологий" включает в себя набор мероприятий по организационной и финансовой поддержке создания </w:t>
      </w:r>
      <w:r>
        <w:rPr>
          <w:rFonts w:ascii="Calibri" w:hAnsi="Calibri" w:cs="Calibri"/>
        </w:rPr>
        <w:lastRenderedPageBreak/>
        <w:t>Сколтеха.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в части данного основного мероприятия за счет средств федерального бюджета в 2013 - 2020 годах составляет 41877,19 млн. рублей, включая 5214,00 млн. руб. оплату по соглашению о взаимодействии с Массачусетским технологическим институтом. Ресурсное обеспечение данного основного мероприятия в рамках внебюджетного финансирования составляет 8076,10 млн.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"Развитие научно-образовательного и инновационного комплекса Сколтеха" финансирование направляется на следующие мероприятия: привлечение для работы в Сколтехе ведущих международных профессоров перспективных российских ученых; оснащение лабораторным оборудованием мирового класса; проведение исследований в рамках созданий научно-технологического задела; организацию обучения магистрантов и слушателей PhD программ; оплату части совместных исследований с ведущими международными университетами, а также их помощи в приобретении необходимых компетенций и участия в подготовке магистрантов и слушателей PhD программ.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"Поддержка создания и развития Сколтеха со стороны МТИ" финансирование направляется на оплату договора о взаимодействии с Массачусетским технологическим институтом.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Сколтех наряду с финансированием из бюджета использует и внебюджетное финансирование. Внебюджетные средства направляются на расширение исследовательской, образовательной и инновационной деятельности, включая расширение парка оборудования, привлечение дополнительных исследователей и аспирантов, и стимулирование инновационной активности.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доходы складываются из следующих источников: за счет доходов от Фонда целевого капитала; грантов российских и международных фондов и ведомств на исследования и разработки; контрактов (или иных форм поддержки) с промышленными компаниями (в том числе и ключевыми партнерами Фонда "Сколково"). Внебюджетные доходы направляются на софинансирование всех статей расходов Сколтех.</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направленные на создание и обеспечение функционирования Сколтеха, на начальной стадии финансируются в основном за счет средств федерального бюджета. За этот период должна быть сформирована база квалифицированных профессоров, обеспечивающих реализацию, как образовательных программ, так и исследовательских проектов. Также должно быть определено оптимальное количество исследовательских центров и магистрантов и слушателей PhD программ для дальнейшей эффективной работы института.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запуска исследовательских центров и начала функционирования образовательных программ основным источником финансирования деятельности Сколтеха постепенно должны стать исследовательские гранты (в том числе государственные), а также инвестиции компаний, заинтересованных в проведении в своих интересах исследований, что в свою очередь ведет к созданию новых исследовательских центров и увеличению объемов работ. Государство в свою очередь может продолжать финансирование университета в минимальном объеме. Параллельно идет процесс увеличения фонда целевого капитала за счет привлечения новых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фонд целевого капитала должен достичь оптимального объема для ведения как исследовательской, так и хозяйственной деятельности Сколтех (обеспечив не менее 30 - 40 процентов нужд Сколтех). Доход от деятельности исследовательских центров составляет не менее 35 - 40 процентов от нужд Сколтеха. Государство финансирует деятельность Сколтех в минимальном объеме, в качестве помощи для расширения деятельности (не более 20 - 35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 предполагает строительство объектов инновационного города и создание социально-городских систем, обеспечивающих комфортные условия проживания инноваторов на территории города, а также управление созданной городской инфраструктурой.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данного основного мероприятия подпрограммы за счет федерального бюджета в 2013 - 2020 гг. составит 36765,89 млн. руб.</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мероприятия подпрограммы предполагается также привлечение </w:t>
      </w:r>
      <w:r>
        <w:rPr>
          <w:rFonts w:ascii="Calibri" w:hAnsi="Calibri" w:cs="Calibri"/>
        </w:rPr>
        <w:lastRenderedPageBreak/>
        <w:t>внебюджетного финансирования в общем размере - 119406,34 млн. руб.</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строительство объектов, входящих в "ядро" инфраструктуры - офисный центр "Технопарк", лабораторно-офисный комплекс "Технопарк", здание Сколтеха, первая очередь апартаментов для участников проекта "Сколково", магистрантов и слушателей PhD программ и преподавателей Сколтеха, необходимые объекты социально-бытовой инфраструктуры - осуществляется за счет средств Федерального бюджета.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объектов инновационного города учитывалась прогнозная демографическая структура групп населения, которые будут работать и проживать на территории инновационного центра. Общее количество жителей города к 2020 году составит около 20 тыс. человек, общее количество занятых в рамках города - около 30 тыс. человек.</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жителей и занятых будут входить сотрудники компаний стартапов, центров НИОКР Ключевых партнеров, магистранты и слушатели PhD программ, преподаватели и административные сотрудники Сколтеха, а также персонал объектов обслуживания.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компании, участники проекта "Сколково" в рамках инновационного города будут размещены на следующих площадях: в Технопарке "Сколково" (вне зависимости от того, являются ли они грантополучателями или нет), в офисных и исследовательских центрах, построенных ключевыми партнерами, а также в офисных центрах, которые будут построены независимыми девелоперами.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Лабораторно-офисный комплекс "Технопарк" призван обеспечить участников проекта "Сколково" офисной и лабораторной инфраструктурой. При проектировании здания учитывались международные практики строительства технопарков, а также результаты опросов компаний, участников проекта "Сколково" о готовности к переезду и потребностях в площадях. Лабораторно-офисный комплекс "Технопарк" будет включать как офисные, так и специализированные лабораторные площади, также на его территории будут размещены помещения "общего пользования" - Центры Коллективного Пользования (ЦКП) и конференц-центр. Экономический анализ, проведенный на этапе проектирования здания, показал, что для рентабельного функционирования Технопарка "Сколково", включая ЦКП и конференц-центры необходимо наполнение постоянными арендаторами в размере около 400 компаний. Проектирование Технопарка "Сколково" на менее, чем 400 участников, приведет к тому, что операционная окупаемость комплекса не будет достигнута.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центров Ключевых партнеров и прочих офисных площадей будет выполняться за внебюджетные средства с учетом динамики развития инновационного города на горизонте 2014 - 2020 годов. Площади будут вводиться в эксплуатацию поэтапно.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 к выделению очередей строительства для оптимизации загрузки здания был также использован и при проектировании комплекса Сколтех. В рамках строительства зданий Сколтеха предусмотрено выделение двух фаз строительства: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очередь - Восточное кольцо (128184 кв. м, 1400 магистрантов, слушателей PhD программ и пост-доков, 450 преподавателей и административных работников);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очередь - Западное кольцо и Агора (75150 кв. м, 850 магистрантов, слушателей PhD программ и пост-доков, 300 преподавателей и административных работников). Объекты второй очереди включают в себя учебные и лабораторные площади, основные помещения библиотеки и главный актовый зал. В соответствии с графиком развития Сколтеха, потребность в площадях второй очереди возникнет в 2017 - 2018 годах. Расходы по строительству второй очереди не включены в данный документ.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итоге комплекс зданий Сколковского института науки и технологий общей площадью 203334 кв. м будет включать в себя учебные, лабораторные, административные и иные площади для организации работы Сколтеха. Данные площади предназначены для размещения 2 250 магистрантов, слушателей PhD программ и пост-докторантов, 750 преподавателей и административных специалистов.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зданий Сколтеха учитывались результаты сопоставительного анализа ведущих зарубежных университетов (например, Массачусетский Технологический Институт, Калифорнийский Технический Институт, Стенфордский Университет).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инновационного города предполагается строительство объектов социально-бытовой сферы. При проектировании инновационного города и расчете целевого объема </w:t>
      </w:r>
      <w:r>
        <w:rPr>
          <w:rFonts w:ascii="Calibri" w:hAnsi="Calibri" w:cs="Calibri"/>
        </w:rPr>
        <w:lastRenderedPageBreak/>
        <w:t>площадей социально-бытовой сферы был использован следующий подход:</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целевая демографическая структура жителей инновационного города по основным функциональным группам к 2020 году и рассчитана прогнозная структура семей жителей инновационного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семей позволила выполнить прогнозирование количества детей в домохозяйствах жителей инновационного города. В рамках расчет получена интервальная оценка количества детей дошкольного и школьного возраста;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данные были использованы для разработки проекта планировки объектов социальной инфраструктуры инновационного города.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расчетные показатели: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дошкольного возраста (от 2 до 6 лет) - от 958 чел. до 1305 чел. (нижняя и верхняя границы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младшего школьного возраста (1 - 5 классы) - от 958 чел. до 1305 чел. (нижняя и верхняя границы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количество мест в семейных кампусах согласно утвержденному Проекту планировки Центра (детский сад и начальная школа) - 2800 мест;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старшего школьного возраста (5 - 11 классы) - от 1150 до 1566 чел.;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в старшей школе согласно утвержденному Проекту планировки центра составляет 2 000 мест.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образовательного комплекса для детей в инновационном центре "Сколково" будут состоять из четырех образовательных центров в семейных кампусах, расположенных в четырех районах города, и одной основной и старшей школы.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каждого из образовательных центров (на 700 детей) войдут: ясли - раннее развитие (0 - 3 года); детский сад - дошкольное образование (4 - 6 лет) и начальная школа (7 - 11 лет).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общеобразовательной школе для детей от 12 до 18 лет будет реализовано общее и среднее образование.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предполагается обучать и воспитывать порядка 2000 детей среднего и старшего школьного возраста и около 2800 детей дошкольного и младшего школьного возраста.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особенностями образовательных центров в Семейных кампусах являются комфортная шаговая доступность, отдельное пространство для младших детей, выделенные места для встреч с семейными и детскими врачами, психологом, пространство для занятий по интересам (обучение взрослых, встречи, родительский клуб), пространство для общения (зона отдыха, кафе), что обеспечивает вовлеченность семей.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и старшая школа представляет собой отдельное пространство для подростков - комплекс "школа - культурно-спортивный центр". Отличительные черты: общие ресурсы со Сколтехом и культурным центром города, многообразные возможности для индивидуальных траекторий, интеграция образовательных, детских, молодежных и семейных сервисов.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начаты работы по проектированию первого образовательного центра в Семейном кампусе в районе D2, строительство которого планируется закончить осенью 2014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потребность в местах для дошкольников (от 0 - 6 лет) и младших школьников (1 - 4 классы) - будет полностью удовлетворена.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мест для школьников с 5 по 11 класс в ИЦ "Сколково" планируется компенсировать за счет потенциала близлежащих образовательных учреждений, причем как частных школ, например, "Новый образовательный комплекс", который возводится на базе Зареченской общеобразовательной школы (инвест-проект С. Керимова) или "Гимназия "Сократ" - Негосударственное общеобразовательное учреждение", которая была основана в 1999 году при непосредственном участии и под патронажем "Международного университета в Москве", расположена на загородной территории университета в живописном и экологически привлекательном уголке ближнего Подмосковья - в кампусе "Кунцево" поселка Заречье; так и государственных общеобразовательных школ.</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пределах 15 минут от инновационного центра "Сколково" расположены следующие московские общеобразовательные школы: N N 800, 809, 714, 239, 384, 811, 1400, 1195, 61. Также на том же удалении находятся Одинцовские средние образовательные школы N 12 и N 16. Количество мест в каждой из этих школ колеблется от 500 до 700.</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Как уже было упомянуто выше, в создании экосистемы участвуют также и внешние инвесторы. Они осуществляют строительство объектов, предназначенных для осуществления: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исследовательской деятельности ключевых партнеров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поздних этапов НИОКР и коммерциализации их результатов;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коммерческой деятельности на территории инновационного центра "Сколково" (девелопмент).</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возводятся за счет иных средств, кроме средств Федерального бюджета, поскольку они будут функционировать на условиях коммерческой привлекательности.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Незначительная часть средств, запланированных к финансированию внешними инвесторами, может быть при необходимости (сроки создания объектов не терпят отлагательства или объекты низкой инвестиционной привлекательности) замещена долговым банковским финансированием, привлекаемым Фондом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объем финансирования, не менее 9757,72 млн. рублей, приходится на осуществление функций муниципального управления инновационным центром "Сколково" (с началом функционирования по мере окончания строительства) и социально значимую инфраструктуру. Доходная часть в виде сальдо доходов и расходов по эксплуатации (сдачи в аренду, предоставления услуг ЦКП, сервисов и т.д.) объектов Фонда "Сколково" и его Дочерних обществ, доходов от аренды земли, несмотря на то, что финансовым планом не предусматривается прямого (предоставление целевых средств) или косвенного (нерыночные арендные ставки или нерыночные расценки на сервисы и услуги; за исключением социально значимых объектов) субсидирования участников и других резидентов инновационного центра "Сколково", не может покрывать существенных по материальности расходов на содержание территории и эксплуатацию городской инфраструктуры (дороги, ландшафт, коммунальные ресурсы для общественных территорий и т.д.), социальных функций (здравоохранение, образование, культура, физкультура и спорт) и выполнение муниципальных функций по управлению.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требуемого финансирования рассчитаны, исходя из программы строительства (площади ландшафта, придомовых территорий, протяженность и ширина дорог, площади общественных помещений и т.д.), удельных нормативов потребляемых ресурсов и действующих цен и тарифов на соответствующие услуги и ресурсы.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социальной поддержки рассчитан на основании плана по строительству объектов социальной инфраструктуры и усредненных данных по среднегодовым объемам бюджетного финансирования соответствующих профильных объектов (поликлиники, больницы, дошкольные учреждения, школы) из бюджета г. Москвы.</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объектов коммунальной инфраструктуры (тепловые сети, сети водоснабжения и водоотведения, ливневой канализации, очистные сооружения и т.д.) планируется их передача соответствующим эксплуатирующим организациям, являющимся поставщиками коммунальных ресурсов.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функции будут осуществляться в рамках деятельности специализированного дочернего общества.</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4" w:name="Par4624"/>
      <w:bookmarkEnd w:id="254"/>
      <w:r>
        <w:rPr>
          <w:rFonts w:ascii="Calibri" w:hAnsi="Calibri" w:cs="Calibri"/>
        </w:rPr>
        <w:t>IX. Анализ рисков реализации подпрограммы и описание мер</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непривлечения целевых групп для жизни и работы в инновационном городе.</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создания изолированной инновационной экосистемы, не встроенной в глобальные технологические цепочки и систему инновационного развития.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привлечения внешнего финансирования для создания инновационного 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Невозможность быстро добиться существенных результатов по коммерциализации исследований.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Слабое взаимодействие между элементами экосистемы Сколково.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Задержки при строительстве необходимой инфраструктуры и объектов инновационного </w:t>
      </w:r>
      <w:r>
        <w:rPr>
          <w:rFonts w:ascii="Calibri" w:hAnsi="Calibri" w:cs="Calibri"/>
        </w:rPr>
        <w:lastRenderedPageBreak/>
        <w:t>центра.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Низкое качество существующего портфеля участников и отсутствие привлекательности для инвесторов.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источников финансирования экосистемы после 2014 года.</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Недостаточный объем венчурных инвестиций в России, необходимый для функционирования инновационного центра "Сколково".</w:t>
      </w:r>
    </w:p>
    <w:p w:rsidR="00C65754" w:rsidRDefault="00C65754">
      <w:pPr>
        <w:widowControl w:val="0"/>
        <w:autoSpaceDE w:val="0"/>
        <w:autoSpaceDN w:val="0"/>
        <w:adjustRightInd w:val="0"/>
        <w:spacing w:after="0" w:line="240" w:lineRule="auto"/>
        <w:ind w:firstLine="540"/>
        <w:jc w:val="both"/>
        <w:rPr>
          <w:rFonts w:ascii="Calibri" w:hAnsi="Calibri" w:cs="Calibri"/>
          <w:lang w:val="en-US"/>
        </w:rPr>
      </w:pPr>
    </w:p>
    <w:p w:rsidR="008C77ED" w:rsidRDefault="008C77ED">
      <w:pPr>
        <w:widowControl w:val="0"/>
        <w:autoSpaceDE w:val="0"/>
        <w:autoSpaceDN w:val="0"/>
        <w:adjustRightInd w:val="0"/>
        <w:spacing w:after="0" w:line="240" w:lineRule="auto"/>
        <w:ind w:firstLine="540"/>
        <w:jc w:val="both"/>
        <w:rPr>
          <w:rFonts w:ascii="Calibri" w:hAnsi="Calibri" w:cs="Calibri"/>
          <w:lang w:val="en-US"/>
        </w:rPr>
      </w:pPr>
    </w:p>
    <w:tbl>
      <w:tblPr>
        <w:tblW w:w="0" w:type="auto"/>
        <w:tblCellSpacing w:w="5" w:type="nil"/>
        <w:tblInd w:w="75" w:type="dxa"/>
        <w:tblCellMar>
          <w:left w:w="75" w:type="dxa"/>
          <w:right w:w="75" w:type="dxa"/>
        </w:tblCellMar>
        <w:tblLook w:val="0000" w:firstRow="0" w:lastRow="0" w:firstColumn="0" w:lastColumn="0" w:noHBand="0" w:noVBand="0"/>
      </w:tblPr>
      <w:tblGrid>
        <w:gridCol w:w="473"/>
        <w:gridCol w:w="2610"/>
        <w:gridCol w:w="3408"/>
        <w:gridCol w:w="2938"/>
      </w:tblGrid>
      <w:tr w:rsidR="00C65754" w:rsidTr="008C77ED">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Риск</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риска</w:t>
            </w:r>
          </w:p>
        </w:tc>
        <w:tc>
          <w:tcPr>
            <w:tcW w:w="0" w:type="auto"/>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управлению риском</w:t>
            </w:r>
          </w:p>
        </w:tc>
      </w:tr>
      <w:tr w:rsidR="00C65754" w:rsidTr="008C77ED">
        <w:tblPrEx>
          <w:tblCellMar>
            <w:top w:w="0" w:type="dxa"/>
            <w:bottom w:w="0" w:type="dxa"/>
          </w:tblCellMar>
        </w:tblPrEx>
        <w:trPr>
          <w:tblCellSpacing w:w="5" w:type="nil"/>
        </w:trPr>
        <w:tc>
          <w:tcPr>
            <w:tcW w:w="0" w:type="auto"/>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Риск непривлечения целевых групп для жизни и работы в инновационном городе</w:t>
            </w:r>
          </w:p>
        </w:tc>
        <w:tc>
          <w:tcPr>
            <w:tcW w:w="0" w:type="auto"/>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Негативная репутация инновационного центра "Сколково", отсутствие привлекательных условий для работы и жизни, высокая стоимость жизни в городе - все это может привести к тому, что город не будет заполнен учеными, исследователями, магистрантами и слушателями PhD программ, преподавателями, а следовательно, не будет достигнута стратегическая цель подпрограммы - создание инновационной экосистемы.</w:t>
            </w:r>
          </w:p>
        </w:tc>
        <w:tc>
          <w:tcPr>
            <w:tcW w:w="0" w:type="auto"/>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потенциальных жителей города: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Создание привлекательных условий жизни в городе - формирование системы здравоохранения, образования, социокультурного обеспечения, система смарт-сити.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Доступ к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Доступ к оборудованию.</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Привлечение в город различных целевых групп, (предприниматели, исследователи, профессора, финансисты и т.п.), участвующих в цепочке создания инновационного продукта.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Создание Виртуального "Сколково", системы региональных кластеров, что позволит создать инновационную среду и за пределами территории города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Привлечение большого количества участников, обучающихся в Сколтехе - при возникновении конкуренции возрастает интерес.</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Риск создания изолированной инновационной экосистемы, не встроенной в глобальные технологические цепочки и систему инновационного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Ошибки целеполагания, формирование точечного плана, направленного исключительно на формирование инновационной среды внутри территории инновационного центра, отсутствие связи со стратегией инновационного развития, недостаток координации с </w:t>
            </w:r>
            <w:r>
              <w:rPr>
                <w:rFonts w:ascii="Calibri" w:hAnsi="Calibri" w:cs="Calibri"/>
              </w:rPr>
              <w:lastRenderedPageBreak/>
              <w:t>другими институтами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изолированной инновационной экосистемы на замкнутой территории приведет к невозможности саморазвития системы, отказ представителей целевых групп от участия в ней, оторванности исследований от инновационной системы государства.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1) Создание программ некоммерческих партнерств с регионами.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Работа с институтами развития: перекрестное участие в органах управления (совет директоров, инвестиционный комитет);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регулярная деятельность в области инновационных и образовательных проектов;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элементов инновационной инфраструктуры.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Программа интеграции проектов "Сколково" в государственные и корпоративные 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Невозможность привлечения внешнего финансирования для создания инновационного центра "Сколково"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Задержки в привлечении внешнего финансирования, необходимого для реализации программы строительства инновационного центра "Сколково".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Утвердить программу застройки города и подготовить документацию, необходимую для привлечения внешнего финансирования.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Поиск альтернативных источников финансирования, привлечение частных инвестиций.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Обеспечить привлечение дополнительных объемов государственного финансирования (например, в части объектов инженерной инфраструктуры города).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Невозможность быстро добиться существенных результатов по коммерциализации исследований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Подтверждение жизнеспособности концепции отнимает слишком много времени - стартапы, инвесторы и международные компании могут разочароваться.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Сосредоточиться на 2 - 5 технологических платформах в рамках каждого Кластера.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Приоритетная поддержка проектов с наибольшим коммерческим потенциалом и коротким сроком коммерциализации ("быстрые решения") - в т.ч. за счет софинансирования проектов венчурных фондов.</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Слабое взаимодействие между элементами экосистемы "Сколково"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взаимодействия между участниками проекта "Сколково", индустриальными партнерами, венчурными фондами и Сколтех.</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единой стратегии экосистемы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КПЭ по взаимодействию между элементами экосистемы.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Задержки при строительстве необходимой инфраструктуры и объектов инновационного центра "Сколково"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Задержки в строительстве ряда объектов Инновационного города.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Реализовать элементы проектного управления на примере приоритетных объектов Технопарка, Сколтех и инженерной инфраструктуры.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Контролировать достижение результатов по промежуточным точкам плана по строительству.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Низкое качество существующего портфеля участников и отсутствие привлекательности для инвесторов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Недостаточное количество качественных проектов для формирования критической массы проектов в экосистеме.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Переориентировать экосистему с пассивного привлечения на активный поиск перспективных идей в научных кругах и стимулирование коммерциализации этих идей в инновационном центре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Активнее вовлекать учащихся и выпускников Сколтеха и ОтУСа в создание стартапов.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Внедрить систему мониторинга и ротации участников.</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источников финансирования экосистемы после 2014 года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источников финансирования экосистемы после 2014 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плана по сокращению расходов и поиску альтернативных источников финансирования деятельности Фонда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Оптимизация планов по застройке на основании перехода к более "плавному" графику развития экосистемы (фазирование строительства и подготовки зданий Технопарка, Сколтеха, социально-городской инфраструктуры).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Обеспечить привлечение дополнительных объемов государственного финансирования (например, в части объектов инженерной инфраструктуры города).</w:t>
            </w:r>
          </w:p>
        </w:tc>
      </w:tr>
      <w:tr w:rsidR="00C65754" w:rsidTr="008C77ED">
        <w:tblPrEx>
          <w:tblCellMar>
            <w:top w:w="0" w:type="dxa"/>
            <w:bottom w:w="0" w:type="dxa"/>
          </w:tblCellMar>
        </w:tblPrEx>
        <w:trPr>
          <w:tblCellSpacing w:w="5" w:type="nil"/>
        </w:trPr>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Недостаточный объем венчурных инвестиций в России, необходимый для функционирования инновационного центра "Сколково"</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Низкие объемы венчурного финансирования не позволят Фонду "Сколково" достичь необходимого уровня софинансирования, что существенно замедлит развитие участников и негативно отразится на функционировании экосистемы.</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Определить примеры успешной коммерциализации в ближайшем будущем.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Активно искать новые типы источников финансирования в том числе из-за рубежа (Sovereign Wealth Funds, Mutual Funds и т.д.).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Более активное вовлечение венчурных партнеров, создание условий по аккумулированию доходов от коммерциализации в экосистеме.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55" w:name="Par4701"/>
      <w:bookmarkEnd w:id="255"/>
      <w:r>
        <w:rPr>
          <w:rFonts w:ascii="Calibri" w:hAnsi="Calibri" w:cs="Calibri"/>
        </w:rPr>
        <w:t>"ФЕДЕРАЛЬНАЯ ЦЕЛЕВАЯ 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единой государственной системы регистрации прав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кадастрового учета недвижимости (2014 - 2019 годы)"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6" w:name="Par4705"/>
      <w:bookmarkEnd w:id="256"/>
      <w:r>
        <w:rPr>
          <w:rFonts w:ascii="Calibri" w:hAnsi="Calibri" w:cs="Calibri"/>
        </w:rPr>
        <w:t>ПАСПОРТ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единой государственной системы регистрации прав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кадастрового учета недвижимости (2014 - 2019 годы)"</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6"/>
        <w:gridCol w:w="313"/>
        <w:gridCol w:w="6649"/>
      </w:tblGrid>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целевая программа "Развитие единой государственной системы регистрации прав и кадастрового учета недвижимости (2014 - 2019 годы)"</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hyperlink r:id="rId28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июня 2013 г. N 1101-р</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-координатор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 Федеральное агентство по управлению государственным имуществом;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управлению государственным имуществом;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 и задачи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задачами Программы являются: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организации предоставления услуг по принципу "одного окна" и переход к оценке гражданами качества предоставления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w:t>
            </w:r>
            <w:r>
              <w:rPr>
                <w:rFonts w:ascii="Calibri" w:hAnsi="Calibri" w:cs="Calibri"/>
              </w:rPr>
              <w:lastRenderedPageBreak/>
              <w:t>недвижимое имущество и сделок с ним и государственного кадастра недвижимости (единого государственного реестра объектов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внедрен единый государственный реестр объектов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осуществлен переход к единой геоцентрической открытой системе координат;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(гектаров),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 в общем количестве опрошенных лиц;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кадастрового учета;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заявителями в очереди</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2014 - 2019 годы</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 источники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финансирования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Программы</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на 2014 - 2019 годы (в ценах соответствующих лет) составляет 54465,31 млн. рублей, в том числе: за счет средств федерального бюджета - 52103,31 млн. рублей, из них: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опытно-конструкторские работы - 91,3 млн.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- 14700,01 млн.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прочие нужды - 37312 млн.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бюджетов субъектов Российской Федерации (прочие нужды) - 2362 млн. рублей</w:t>
            </w:r>
          </w:p>
        </w:tc>
      </w:tr>
      <w:tr w:rsidR="00C65754">
        <w:tblPrEx>
          <w:tblCellMar>
            <w:top w:w="0" w:type="dxa"/>
            <w:bottom w:w="0" w:type="dxa"/>
          </w:tblCellMar>
        </w:tblPrEx>
        <w:trPr>
          <w:tblCellSpacing w:w="5" w:type="nil"/>
        </w:trPr>
        <w:tc>
          <w:tcPr>
            <w:tcW w:w="28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ее социально-экономической эффективности</w:t>
            </w:r>
          </w:p>
        </w:tc>
        <w:tc>
          <w:tcPr>
            <w:tcW w:w="313"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66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до 100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до 65,1 процента;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2018 году доли услуг по государственной регистрации прав и кадастровому учету, оказываемых через информационно-телекоммуникационную сеть "Интернет", до 70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к 2018 году доли лиц, положительно оценивающих качество работы регистрационных органов, до 90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 до 11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срока государственной регистрации прав до 7 рабочих дней;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срока кадастрового учета до 5 рабочих дней;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к 2018 году времени ожидания заявителями в очереди до 10 минут</w:t>
            </w:r>
          </w:p>
        </w:tc>
      </w:tr>
    </w:tbl>
    <w:p w:rsidR="00C65754" w:rsidRDefault="00C65754">
      <w:pPr>
        <w:widowControl w:val="0"/>
        <w:autoSpaceDE w:val="0"/>
        <w:autoSpaceDN w:val="0"/>
        <w:adjustRightInd w:val="0"/>
        <w:spacing w:after="0" w:line="240" w:lineRule="auto"/>
        <w:jc w:val="both"/>
        <w:rPr>
          <w:rFonts w:ascii="Calibri" w:hAnsi="Calibri" w:cs="Calibri"/>
        </w:rPr>
        <w:sectPr w:rsidR="00C65754" w:rsidSect="008C77ED">
          <w:pgSz w:w="11905" w:h="16838"/>
          <w:pgMar w:top="1134" w:right="850" w:bottom="1134" w:left="1701" w:header="720" w:footer="720" w:gutter="0"/>
          <w:cols w:space="720"/>
          <w:noEndnote/>
          <w:docGrid w:linePitch="299"/>
        </w:sect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57" w:name="Par4777"/>
      <w:bookmarkEnd w:id="257"/>
      <w:r>
        <w:rPr>
          <w:rFonts w:ascii="Calibri" w:hAnsi="Calibri" w:cs="Calibri"/>
        </w:rPr>
        <w:t>Вклад федеральной целевой программы "Развитие единой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системы регистрации прав и кадастрового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учета недвижимости (2014 - 2019 годы)" в достижение цели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целевая программа "Развитие единой государственной системы регистрации прав и кадастрового учета недвижимости (2014 - 2019 годы)" (далее - Программа) направлена на гармонизацию сферы земельно-имущественных отношений, базируется на соблюдении баланса интересов, взаимной ответственности и скоординированности усилий государства, бизнеса и общества, обеспечивает переход к инновационному социально ориентированному типу экономического развития Российской Федерации.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предполагается реализация комплекса мер, направленных на 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 обеспечение организации предоставления услуг по принципу "одного окна" и переход к оценке гражданами качества предоставления услуг, а также 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России, обеспечение государственных гарантий прав собственности и иных вещных прав на недвижимое имущество.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региональному развитию.</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создания единой учетно-регистрационной системы, реализации комплекса нормативных, административных и информационных мероприятий Программы планируется сократить сроки государственной регистрации прав на недвижимое имущество и сделок с ним, количество необходимых процедур, а также повысить гарантии зарегистрированных прав и исключить административные барьеры и коррупционные проявления.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весь период реализации Программы предусматривается обеспечить: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удовлетворенности граждан качеством работы регистрационных органов до 90 процентов;</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сроков государственной регистрации прав и кадастрового учета до 7 рабочих дней и 5 рабочих дней соответственно;</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государственного информационного ресурса в сфере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предпринимателей и граждан;</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рынка недвижимости.</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экономическая эффективность от реализации программных мероприятий предполагает увеличение доходов бюджетов всех уровней за счет повышения эффективности управления земельными ресурсами, а также за счет снижения расходов федерального бюджета на поддержание в актуальном состоянии федеральных информационных ресурсов. Так, за весь период реализации Программы предполагается собрать поступлений, получаемых от сбора земельного и имущественных налогов, в консолидированный бюджет Российской Федерации в пределах 5100 млрд. рублей. При этом в течение 2019 года в результате реализации мероприятий Программы должно быть дополнительно собрано около 930 млрд. рублей.</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 уточнению границ земельных участков и государственной регистрации права Российской Федерации на них позволит дополнительно привлекать ежегодно в бюджет Российской Федерации средства от сдачи в аренду федеральных земельных участков. Так, на 1 рубль, вложенный в проведение указанных работ, за весь период реализации Программы предполагается получить до 4 рублей от сдачи в аренду этих земель.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реализация программных мероприятий предполагает рост числа выявленных нарушений земельного законодательства в 3 раза - с 162 до 480 тысяч в год, а также увеличение сумм наложенных на нарушителей административных штрафов в 3 раза по сравнению с 2012 годом.</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долгосрочную и среднесрочную перспективу развития единой государственной системы регистрации прав и кадастрового учета недвижимости социально-экономический эффект от реализации Программы будет состоять в снижении административных барьеров при получении государственных услуг, росте обращений заявителей, сокращении временных и финансовых издержек потребителей услуг в сфере недвижимости, увеличении оборота недвижимости и налогооблагаемой базы, росте доходов бюджетов всех уровней, а также в повышении инвестиционной привлекательности и снижении коррупционной составляющей.".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8C77ED" w:rsidRDefault="008C77ED">
      <w:pPr>
        <w:widowControl w:val="0"/>
        <w:autoSpaceDE w:val="0"/>
        <w:autoSpaceDN w:val="0"/>
        <w:adjustRightInd w:val="0"/>
        <w:spacing w:after="0" w:line="240" w:lineRule="auto"/>
        <w:jc w:val="both"/>
        <w:rPr>
          <w:rFonts w:ascii="Calibri" w:hAnsi="Calibri" w:cs="Calibri"/>
        </w:rPr>
        <w:sectPr w:rsidR="008C77ED">
          <w:pgSz w:w="11905" w:h="16838"/>
          <w:pgMar w:top="1134" w:right="850" w:bottom="1134" w:left="1701" w:header="720" w:footer="720" w:gutter="0"/>
          <w:cols w:space="720"/>
          <w:noEndnote/>
        </w:sectPr>
      </w:pP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258" w:name="Par4803"/>
      <w:bookmarkEnd w:id="258"/>
      <w:r>
        <w:rPr>
          <w:rFonts w:ascii="Calibri" w:hAnsi="Calibri" w:cs="Calibri"/>
        </w:rPr>
        <w:lastRenderedPageBreak/>
        <w:t>Приложение N 1</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259" w:name="Par4805"/>
      <w:bookmarkEnd w:id="259"/>
      <w:r>
        <w:rPr>
          <w:rFonts w:ascii="Calibri" w:hAnsi="Calibri" w:cs="Calibri"/>
        </w:rPr>
        <w:t>СВЕДЕНИЯ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ГОСУДАРСТВЕННОЙ ПРОГРАММЫ, ФЕДЕРАЛЬНЫХ ЦЕЛЕВЫХ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(ПОДПРОГРАММ ФЕДЕРАЛЬНЫХ ЦЕЛЕВЫХ ПРОГРАММ)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ИХ ЗНАЧЕНИЯХ</w:t>
      </w:r>
    </w:p>
    <w:p w:rsidR="00C65754" w:rsidRDefault="00C65754">
      <w:pPr>
        <w:widowControl w:val="0"/>
        <w:autoSpaceDE w:val="0"/>
        <w:autoSpaceDN w:val="0"/>
        <w:adjustRightInd w:val="0"/>
        <w:spacing w:after="0" w:line="240" w:lineRule="auto"/>
        <w:jc w:val="center"/>
        <w:rPr>
          <w:rFonts w:ascii="Calibri" w:hAnsi="Calibri" w:cs="Calibri"/>
          <w:lang w:val="en-US"/>
        </w:rPr>
      </w:pP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72"/>
        <w:gridCol w:w="3872"/>
        <w:gridCol w:w="1815"/>
        <w:gridCol w:w="950"/>
        <w:gridCol w:w="942"/>
        <w:gridCol w:w="942"/>
        <w:gridCol w:w="942"/>
        <w:gridCol w:w="942"/>
        <w:gridCol w:w="942"/>
        <w:gridCol w:w="942"/>
        <w:gridCol w:w="942"/>
        <w:gridCol w:w="942"/>
      </w:tblGrid>
      <w:tr w:rsidR="00C65754" w:rsidTr="008C77ED">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(индикатор)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0" w:type="auto"/>
            <w:gridSpan w:val="9"/>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годы</w:t>
            </w:r>
          </w:p>
        </w:tc>
      </w:tr>
      <w:tr w:rsidR="00C65754" w:rsidTr="008C77ED">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0" w:type="auto"/>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C65754" w:rsidTr="008C77ED">
        <w:tblPrEx>
          <w:tblCellMar>
            <w:top w:w="0" w:type="dxa"/>
            <w:bottom w:w="0" w:type="dxa"/>
          </w:tblCellMar>
        </w:tblPrEx>
        <w:trPr>
          <w:tblCellSpacing w:w="5" w:type="nil"/>
        </w:trPr>
        <w:tc>
          <w:tcPr>
            <w:tcW w:w="0" w:type="auto"/>
            <w:gridSpan w:val="12"/>
            <w:tcBorders>
              <w:top w:val="single" w:sz="4" w:space="0" w:color="auto"/>
            </w:tcBorders>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0" w:name="Par4824"/>
            <w:bookmarkEnd w:id="260"/>
            <w:r>
              <w:rPr>
                <w:rFonts w:ascii="Calibri" w:hAnsi="Calibri" w:cs="Calibri"/>
              </w:rPr>
              <w:t>Государственная программа "Экономическое развитие и инновационная экономика"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доступности к официальной статистической информации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1" w:name="Par4885"/>
            <w:bookmarkEnd w:id="261"/>
            <w:r>
              <w:rPr>
                <w:rFonts w:ascii="Calibri" w:hAnsi="Calibri" w:cs="Calibri"/>
              </w:rPr>
              <w:t>Подпрограмма "Формирование благоприятной инвестиционной среды"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прямых иностранных инвестиций </w:t>
            </w:r>
            <w:r>
              <w:rPr>
                <w:rFonts w:ascii="Calibri" w:hAnsi="Calibri" w:cs="Calibri"/>
              </w:rPr>
              <w:lastRenderedPageBreak/>
              <w:t>в российской экономике к ВВП, %</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млрд. долларов США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147,8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Эффективность предоставления налоговых льгот (по опросам налогоплательщиков)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компаний положительно оценивающих эффективность налоговых льгот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118,3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произведенных/оказанных резидентами ОЭЗ</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 созданных резидентами ОЭЗ</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10215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14730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16640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21050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5846" w:history="1">
              <w:r>
                <w:rPr>
                  <w:rFonts w:ascii="Calibri" w:hAnsi="Calibri" w:cs="Calibri"/>
                  <w:color w:val="0000FF"/>
                </w:rPr>
                <w:t>&lt;*&gt;</w:t>
              </w:r>
            </w:hyperlink>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 </w:t>
            </w:r>
            <w:hyperlink w:anchor="Par5846" w:history="1">
              <w:r>
                <w:rPr>
                  <w:rFonts w:ascii="Calibri" w:hAnsi="Calibri" w:cs="Calibri"/>
                  <w:color w:val="0000FF"/>
                </w:rPr>
                <w:t>&lt;*&gt;</w:t>
              </w:r>
            </w:hyperlink>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1271907 </w:t>
            </w:r>
            <w:hyperlink w:anchor="Par5847" w:history="1">
              <w:r>
                <w:rPr>
                  <w:rFonts w:ascii="Calibri" w:hAnsi="Calibri" w:cs="Calibri"/>
                  <w:color w:val="0000FF"/>
                </w:rPr>
                <w:t>&lt;**&gt;</w:t>
              </w:r>
            </w:hyperlink>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2100000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ОРВ с количественными оценками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проектов актов, по которым в рамках ОРВ разработчиками была проведена оценка альтернатив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2" w:name="Par5042"/>
            <w:bookmarkEnd w:id="262"/>
            <w:r>
              <w:rPr>
                <w:rFonts w:ascii="Calibri" w:hAnsi="Calibri" w:cs="Calibri"/>
              </w:rPr>
              <w:t>Подпрограмма "Развитие малого и среднего предпринимательства"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184,55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193,29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3" w:name="Par5079"/>
            <w:bookmarkEnd w:id="263"/>
            <w:r>
              <w:rPr>
                <w:rFonts w:ascii="Calibri" w:hAnsi="Calibri" w:cs="Calibri"/>
              </w:rPr>
              <w:t>Подпрограмма "Создание благоприятных условий для развития рынка недвижимости"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w:t>
            </w:r>
            <w:r>
              <w:rPr>
                <w:rFonts w:ascii="Calibri" w:hAnsi="Calibri" w:cs="Calibri"/>
              </w:rPr>
              <w:lastRenderedPageBreak/>
              <w:t>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w:t>
            </w:r>
            <w:r>
              <w:rPr>
                <w:rFonts w:ascii="Calibri" w:hAnsi="Calibri" w:cs="Calibri"/>
              </w:rPr>
              <w:lastRenderedPageBreak/>
              <w:t>количестве указанных государственных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4" w:name="Par5140"/>
            <w:bookmarkEnd w:id="264"/>
            <w:r>
              <w:rPr>
                <w:rFonts w:ascii="Calibri" w:hAnsi="Calibri" w:cs="Calibri"/>
              </w:rPr>
              <w:lastRenderedPageBreak/>
              <w:t>Подпрограмма "Совершенствование государственного и муниципального управления"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минут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удовлетворенности юридических лиц и индивидуальных предпринимателей качеством предоставления государственной </w:t>
            </w:r>
            <w:r>
              <w:rPr>
                <w:rFonts w:ascii="Calibri" w:hAnsi="Calibri" w:cs="Calibri"/>
              </w:rPr>
              <w:lastRenderedPageBreak/>
              <w:t>услуги по аккредитации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процентах к 2012 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юридических и физических лиц качеством услуг, оказываемых аккредитованными лицами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2012 году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5" w:name="Par5213"/>
            <w:bookmarkEnd w:id="265"/>
            <w:r>
              <w:rPr>
                <w:rFonts w:ascii="Calibri" w:hAnsi="Calibri" w:cs="Calibri"/>
              </w:rPr>
              <w:t>Подпрограмма "Стимулирование инноваций"</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осуществлявших технологические инновации, в общем числе организаций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6" w:name="Par5274"/>
            <w:bookmarkEnd w:id="266"/>
            <w:r>
              <w:rPr>
                <w:rFonts w:ascii="Calibri" w:hAnsi="Calibri" w:cs="Calibri"/>
              </w:rPr>
              <w:t xml:space="preserve">Подпрограмма "Повышение эффективности функционирования естественных монополий и совершенствование системы государственного </w:t>
            </w:r>
            <w:r>
              <w:rPr>
                <w:rFonts w:ascii="Calibri" w:hAnsi="Calibri" w:cs="Calibri"/>
              </w:rPr>
              <w:lastRenderedPageBreak/>
              <w:t>регулирования тарифов"</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1.25pt;height:12pt">
                  <v:imagedata r:id="rId289" o:title=""/>
                </v:shape>
              </w:pict>
            </w:r>
            <w:r>
              <w:rPr>
                <w:rFonts w:ascii="Calibri" w:hAnsi="Calibri" w:cs="Calibri"/>
              </w:rPr>
              <w:t xml:space="preserve"> 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1.25pt;height:12pt">
                  <v:imagedata r:id="rId289" o:title=""/>
                </v:shape>
              </w:pict>
            </w:r>
            <w:r>
              <w:rPr>
                <w:rFonts w:ascii="Calibri" w:hAnsi="Calibri" w:cs="Calibri"/>
              </w:rPr>
              <w:t xml:space="preserve"> 100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ФСТ России, отмененных вступившими в законную силу решениями суда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1.25pt;height:12pt">
                  <v:imagedata r:id="rId289" o:title=""/>
                </v:shape>
              </w:pict>
            </w:r>
            <w:r>
              <w:rPr>
                <w:rFonts w:ascii="Calibri" w:hAnsi="Calibri" w:cs="Calibri"/>
              </w:rPr>
              <w:t xml:space="preserve"> 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1.25pt;height:12pt">
                  <v:imagedata r:id="rId289" o:title=""/>
                </v:shape>
              </w:pict>
            </w:r>
            <w:r>
              <w:rPr>
                <w:rFonts w:ascii="Calibri" w:hAnsi="Calibri" w:cs="Calibri"/>
              </w:rPr>
              <w:t xml:space="preserve"> 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11.25pt;height:12pt">
                  <v:imagedata r:id="rId289" o:title=""/>
                </v:shape>
              </w:pict>
            </w:r>
            <w:r>
              <w:rPr>
                <w:rFonts w:ascii="Calibri" w:hAnsi="Calibri" w:cs="Calibri"/>
              </w:rPr>
              <w:t xml:space="preserve"> 0,8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1.25pt;height:12pt">
                  <v:imagedata r:id="rId289" o:title=""/>
                </v:shape>
              </w:pict>
            </w:r>
            <w:r>
              <w:rPr>
                <w:rFonts w:ascii="Calibri" w:hAnsi="Calibri" w:cs="Calibri"/>
              </w:rPr>
              <w:t xml:space="preserve"> 0,6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25pt;height:12pt">
                  <v:imagedata r:id="rId289" o:title=""/>
                </v:shape>
              </w:pict>
            </w:r>
            <w:r>
              <w:rPr>
                <w:rFonts w:ascii="Calibri" w:hAnsi="Calibri" w:cs="Calibri"/>
              </w:rPr>
              <w:t xml:space="preserve"> 0,4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1.25pt;height:12pt">
                  <v:imagedata r:id="rId289" o:title=""/>
                </v:shape>
              </w:pict>
            </w:r>
            <w:r>
              <w:rPr>
                <w:rFonts w:ascii="Calibri" w:hAnsi="Calibri" w:cs="Calibri"/>
              </w:rPr>
              <w:t xml:space="preserve"> 0,2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1.25pt;height:12pt">
                  <v:imagedata r:id="rId289" o:title=""/>
                </v:shape>
              </w:pict>
            </w:r>
            <w:r>
              <w:rPr>
                <w:rFonts w:ascii="Calibri" w:hAnsi="Calibri" w:cs="Calibri"/>
              </w:rPr>
              <w:t xml:space="preserve"> 0,2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1.25pt;height:12pt">
                  <v:imagedata r:id="rId289" o:title=""/>
                </v:shape>
              </w:pict>
            </w:r>
            <w:r>
              <w:rPr>
                <w:rFonts w:ascii="Calibri" w:hAnsi="Calibri" w:cs="Calibri"/>
              </w:rPr>
              <w:t xml:space="preserve"> 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1.25pt;height:12pt">
                  <v:imagedata r:id="rId289" o:title=""/>
                </v:shape>
              </w:pict>
            </w:r>
            <w:r>
              <w:rPr>
                <w:rFonts w:ascii="Calibri" w:hAnsi="Calibri" w:cs="Calibri"/>
              </w:rPr>
              <w:t xml:space="preserve"> 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11.25pt;height:12pt">
                  <v:imagedata r:id="rId289" o:title=""/>
                </v:shape>
              </w:pict>
            </w:r>
            <w:r>
              <w:rPr>
                <w:rFonts w:ascii="Calibri" w:hAnsi="Calibri" w:cs="Calibri"/>
              </w:rPr>
              <w:t xml:space="preserve"> 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1.25pt;height:12pt">
                  <v:imagedata r:id="rId289" o:title=""/>
                </v:shape>
              </w:pict>
            </w:r>
            <w:r>
              <w:rPr>
                <w:rFonts w:ascii="Calibri" w:hAnsi="Calibri" w:cs="Calibri"/>
              </w:rPr>
              <w:t xml:space="preserve"> 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11.25pt;height:12pt">
                  <v:imagedata r:id="rId289" o:title=""/>
                </v:shape>
              </w:pict>
            </w:r>
            <w:r>
              <w:rPr>
                <w:rFonts w:ascii="Calibri" w:hAnsi="Calibri" w:cs="Calibri"/>
              </w:rPr>
              <w:t xml:space="preserve"> 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1.25pt;height:12pt">
                  <v:imagedata r:id="rId289" o:title=""/>
                </v:shape>
              </w:pict>
            </w:r>
            <w:r>
              <w:rPr>
                <w:rFonts w:ascii="Calibri" w:hAnsi="Calibri" w:cs="Calibri"/>
              </w:rPr>
              <w:t xml:space="preserve"> 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11.25pt;height:12pt">
                  <v:imagedata r:id="rId289" o:title=""/>
                </v:shape>
              </w:pict>
            </w:r>
            <w:r>
              <w:rPr>
                <w:rFonts w:ascii="Calibri" w:hAnsi="Calibri" w:cs="Calibri"/>
              </w:rPr>
              <w:t xml:space="preserve"> 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11.25pt;height:12pt">
                  <v:imagedata r:id="rId289" o:title=""/>
                </v:shape>
              </w:pict>
            </w:r>
            <w:r>
              <w:rPr>
                <w:rFonts w:ascii="Calibri" w:hAnsi="Calibri" w:cs="Calibri"/>
              </w:rPr>
              <w:t xml:space="preserve"> 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11.25pt;height:12pt">
                  <v:imagedata r:id="rId289" o:title=""/>
                </v:shape>
              </w:pict>
            </w:r>
            <w:r>
              <w:rPr>
                <w:rFonts w:ascii="Calibri" w:hAnsi="Calibri" w:cs="Calibri"/>
              </w:rPr>
              <w:t xml:space="preserve"> 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11.25pt;height:12pt">
                  <v:imagedata r:id="rId289" o:title=""/>
                </v:shape>
              </w:pict>
            </w:r>
            <w:r>
              <w:rPr>
                <w:rFonts w:ascii="Calibri" w:hAnsi="Calibri" w:cs="Calibri"/>
              </w:rPr>
              <w:t xml:space="preserve"> 1</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11.25pt;height:12pt">
                  <v:imagedata r:id="rId289" o:title=""/>
                </v:shape>
              </w:pict>
            </w:r>
            <w:r>
              <w:rPr>
                <w:rFonts w:ascii="Calibri" w:hAnsi="Calibri" w:cs="Calibri"/>
              </w:rPr>
              <w:t xml:space="preserve"> 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11.25pt;height:12pt">
                  <v:imagedata r:id="rId289" o:title=""/>
                </v:shape>
              </w:pict>
            </w:r>
            <w:r>
              <w:rPr>
                <w:rFonts w:ascii="Calibri" w:hAnsi="Calibri" w:cs="Calibri"/>
              </w:rPr>
              <w:t xml:space="preserve"> 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11.25pt;height:12pt">
                  <v:imagedata r:id="rId289" o:title=""/>
                </v:shape>
              </w:pict>
            </w:r>
            <w:r>
              <w:rPr>
                <w:rFonts w:ascii="Calibri" w:hAnsi="Calibri" w:cs="Calibri"/>
              </w:rPr>
              <w:t xml:space="preserve"> 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1.25pt;height:12pt">
                  <v:imagedata r:id="rId289" o:title=""/>
                </v:shape>
              </w:pict>
            </w:r>
            <w:r>
              <w:rPr>
                <w:rFonts w:ascii="Calibri" w:hAnsi="Calibri" w:cs="Calibri"/>
              </w:rPr>
              <w:t xml:space="preserve"> 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12pt">
                  <v:imagedata r:id="rId289" o:title=""/>
                </v:shape>
              </w:pict>
            </w:r>
            <w:r>
              <w:rPr>
                <w:rFonts w:ascii="Calibri" w:hAnsi="Calibri" w:cs="Calibri"/>
              </w:rPr>
              <w:t xml:space="preserve"> 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11.25pt;height:12pt">
                  <v:imagedata r:id="rId289" o:title=""/>
                </v:shape>
              </w:pict>
            </w:r>
            <w:r>
              <w:rPr>
                <w:rFonts w:ascii="Calibri" w:hAnsi="Calibri" w:cs="Calibri"/>
              </w:rPr>
              <w:t xml:space="preserve"> 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11.25pt;height:12pt">
                  <v:imagedata r:id="rId289" o:title=""/>
                </v:shape>
              </w:pict>
            </w:r>
            <w:r>
              <w:rPr>
                <w:rFonts w:ascii="Calibri" w:hAnsi="Calibri" w:cs="Calibri"/>
              </w:rPr>
              <w:t xml:space="preserve"> 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1.25pt;height:12pt">
                  <v:imagedata r:id="rId289" o:title=""/>
                </v:shape>
              </w:pict>
            </w:r>
            <w:r>
              <w:rPr>
                <w:rFonts w:ascii="Calibri" w:hAnsi="Calibri" w:cs="Calibri"/>
              </w:rPr>
              <w:t xml:space="preserve"> 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11.25pt;height:12pt">
                  <v:imagedata r:id="rId289" o:title=""/>
                </v:shape>
              </w:pict>
            </w:r>
            <w:r>
              <w:rPr>
                <w:rFonts w:ascii="Calibri" w:hAnsi="Calibri" w:cs="Calibri"/>
              </w:rPr>
              <w:t xml:space="preserve"> 1</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выполнения утвержденного плана проведения плановых проверок ФСТ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постановлений по делам об административных правонарушениях, отмененных вступившими в законную силу решениями суда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11.25pt;height:12pt">
                  <v:imagedata r:id="rId289" o:title=""/>
                </v:shape>
              </w:pict>
            </w:r>
            <w:r>
              <w:rPr>
                <w:rFonts w:ascii="Calibri" w:hAnsi="Calibri" w:cs="Calibri"/>
              </w:rPr>
              <w:t xml:space="preserve"> 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1.25pt;height:12pt">
                  <v:imagedata r:id="rId289" o:title=""/>
                </v:shape>
              </w:pict>
            </w:r>
            <w:r>
              <w:rPr>
                <w:rFonts w:ascii="Calibri" w:hAnsi="Calibri" w:cs="Calibri"/>
              </w:rPr>
              <w:t xml:space="preserve"> 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11.25pt;height:12pt">
                  <v:imagedata r:id="rId289" o:title=""/>
                </v:shape>
              </w:pict>
            </w:r>
            <w:r>
              <w:rPr>
                <w:rFonts w:ascii="Calibri" w:hAnsi="Calibri" w:cs="Calibri"/>
              </w:rPr>
              <w:t xml:space="preserve"> 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1.25pt;height:12pt">
                  <v:imagedata r:id="rId289"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25pt;height:12pt">
                  <v:imagedata r:id="rId289"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25pt;height:12pt">
                  <v:imagedata r:id="rId289"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25pt;height:12pt">
                  <v:imagedata r:id="rId289"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25pt;height:12pt">
                  <v:imagedata r:id="rId289"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25pt;height:12pt">
                  <v:imagedata r:id="rId289" o:title=""/>
                </v:shape>
              </w:pict>
            </w:r>
            <w:r>
              <w:rPr>
                <w:rFonts w:ascii="Calibri" w:hAnsi="Calibri" w:cs="Calibri"/>
              </w:rPr>
              <w:t xml:space="preserve"> 0,5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 от общего количества </w:t>
            </w:r>
            <w:r>
              <w:rPr>
                <w:rFonts w:ascii="Calibri" w:hAnsi="Calibri" w:cs="Calibri"/>
              </w:rPr>
              <w:lastRenderedPageBreak/>
              <w:t>отправленных на регистрацию</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издержек регулируемых ФСТ России организаций инфраструктурного сектора к уровню 2013 года (100%) (в сопоставимых ценах)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25pt;height:12pt">
                  <v:imagedata r:id="rId289" o:title=""/>
                </v:shape>
              </w:pict>
            </w:r>
            <w:r>
              <w:rPr>
                <w:rFonts w:ascii="Calibri" w:hAnsi="Calibri" w:cs="Calibri"/>
              </w:rPr>
              <w:t xml:space="preserve"> 99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11.25pt;height:12pt">
                  <v:imagedata r:id="rId289" o:title=""/>
                </v:shape>
              </w:pict>
            </w:r>
            <w:r>
              <w:rPr>
                <w:rFonts w:ascii="Calibri" w:hAnsi="Calibri" w:cs="Calibri"/>
              </w:rPr>
              <w:t xml:space="preserve"> 99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11.25pt;height:12pt">
                  <v:imagedata r:id="rId289" o:title=""/>
                </v:shape>
              </w:pict>
            </w:r>
            <w:r>
              <w:rPr>
                <w:rFonts w:ascii="Calibri" w:hAnsi="Calibri" w:cs="Calibri"/>
              </w:rPr>
              <w:t xml:space="preserve"> 98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11.25pt;height:12pt">
                  <v:imagedata r:id="rId289" o:title=""/>
                </v:shape>
              </w:pict>
            </w:r>
            <w:r>
              <w:rPr>
                <w:rFonts w:ascii="Calibri" w:hAnsi="Calibri" w:cs="Calibri"/>
              </w:rPr>
              <w:t xml:space="preserve"> 96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1.25pt;height:12pt">
                  <v:imagedata r:id="rId289" o:title=""/>
                </v:shape>
              </w:pict>
            </w:r>
            <w:r>
              <w:rPr>
                <w:rFonts w:ascii="Calibri" w:hAnsi="Calibri" w:cs="Calibri"/>
              </w:rPr>
              <w:t xml:space="preserve"> 96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1.25pt;height:12pt">
                  <v:imagedata r:id="rId289" o:title=""/>
                </v:shape>
              </w:pict>
            </w:r>
            <w:r>
              <w:rPr>
                <w:rFonts w:ascii="Calibri" w:hAnsi="Calibri" w:cs="Calibri"/>
              </w:rPr>
              <w:t xml:space="preserve"> 94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11.25pt;height:12pt">
                  <v:imagedata r:id="rId289" o:title=""/>
                </v:shape>
              </w:pict>
            </w:r>
            <w:r>
              <w:rPr>
                <w:rFonts w:ascii="Calibri" w:hAnsi="Calibri" w:cs="Calibri"/>
              </w:rPr>
              <w:t xml:space="preserve"> 94</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1852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1852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1852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11.25pt;height:12pt">
                  <v:imagedata r:id="rId289" o:title=""/>
                </v:shape>
              </w:pict>
            </w:r>
            <w:r>
              <w:rPr>
                <w:rFonts w:ascii="Calibri" w:hAnsi="Calibri" w:cs="Calibri"/>
              </w:rPr>
              <w:t xml:space="preserve"> 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11.25pt;height:12pt">
                  <v:imagedata r:id="rId289" o:title=""/>
                </v:shape>
              </w:pict>
            </w:r>
            <w:r>
              <w:rPr>
                <w:rFonts w:ascii="Calibri" w:hAnsi="Calibri" w:cs="Calibri"/>
              </w:rPr>
              <w:t xml:space="preserve"> 25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срока присоединения к энергосети, предусматривающего введение обязанности органов исполнительной власти субъектов Российской Федерации в области государственного регулирования тарифов утверждать тарифы на технологическое присоединение по всем категориям потребителей на весь период регулирования по каждому уровню напряжения с учетом категорийности (дней)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11.25pt;height:12pt">
                  <v:imagedata r:id="rId289" o:title=""/>
                </v:shape>
              </w:pict>
            </w:r>
            <w:r>
              <w:rPr>
                <w:rFonts w:ascii="Calibri" w:hAnsi="Calibri" w:cs="Calibri"/>
              </w:rPr>
              <w:t xml:space="preserve"> 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11.25pt;height:12pt">
                  <v:imagedata r:id="rId289" o:title=""/>
                </v:shape>
              </w:pict>
            </w:r>
            <w:r>
              <w:rPr>
                <w:rFonts w:ascii="Calibri" w:hAnsi="Calibri" w:cs="Calibri"/>
              </w:rPr>
              <w:t xml:space="preserve"> 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11.25pt;height:12pt">
                  <v:imagedata r:id="rId289" o:title=""/>
                </v:shape>
              </w:pict>
            </w:r>
            <w:r>
              <w:rPr>
                <w:rFonts w:ascii="Calibri" w:hAnsi="Calibri" w:cs="Calibri"/>
              </w:rPr>
              <w:t xml:space="preserve"> 50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7" w:name="Par5395"/>
            <w:bookmarkEnd w:id="267"/>
            <w:r>
              <w:rPr>
                <w:rFonts w:ascii="Calibri" w:hAnsi="Calibri" w:cs="Calibri"/>
              </w:rPr>
              <w:t>Подпрограмма "Кадры для инновационной экономики"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подготовленных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 630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8" w:name="Par5420"/>
            <w:bookmarkEnd w:id="268"/>
            <w:r>
              <w:rPr>
                <w:rFonts w:ascii="Calibri" w:hAnsi="Calibri" w:cs="Calibri"/>
              </w:rPr>
              <w:lastRenderedPageBreak/>
              <w:t>Подпрограмма "Совершенствование системы государственного стратегического управления"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отраслей и секторов экономики в ВВП, развивающихся с использованием инструментов стратегического планирования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от прогнозируемых в предыдущем году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и 20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69" w:name="Par5445"/>
            <w:bookmarkEnd w:id="269"/>
            <w:r>
              <w:rPr>
                <w:rFonts w:ascii="Calibri" w:hAnsi="Calibri" w:cs="Calibri"/>
              </w:rPr>
              <w:t>Подпрограмма "Формирование официальной статистической информации"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выполненных в рамках реализации Федерального плана статистических работ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общему числу показателей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показателей, данные по которым </w:t>
            </w:r>
            <w:r>
              <w:rPr>
                <w:rFonts w:ascii="Calibri" w:hAnsi="Calibri" w:cs="Calibri"/>
              </w:rPr>
              <w:lastRenderedPageBreak/>
              <w:t>опубликованы в ЕМИСС в сроки, не позднее установленных ФПСР, в общем количестве показателей, данные по которым опубликованы в ЕМИСС, не менее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работ ФПСР, показатели по которым размещены в ЕМИСС в сети Интернет, в общем количестве работ, включенных в ФПСР, показатели которых подлежат включению в ЕМИСС</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базовых таблиц "затраты-выпуск" за 2011 и 2016 гг., включая коэффициенты прямых и полных затрат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1433,8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ВВП</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2" type="#_x0000_t75" style="width:11.25pt;height:12pt">
                  <v:imagedata r:id="rId290" o:title=""/>
                </v:shape>
              </w:pict>
            </w:r>
            <w:r>
              <w:rPr>
                <w:rFonts w:ascii="Calibri" w:hAnsi="Calibri" w:cs="Calibri"/>
              </w:rPr>
              <w:t xml:space="preserve">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3" type="#_x0000_t75" style="width:11.25pt;height:12pt">
                  <v:imagedata r:id="rId290" o:title=""/>
                </v:shape>
              </w:pict>
            </w:r>
            <w:r>
              <w:rPr>
                <w:rFonts w:ascii="Calibri" w:hAnsi="Calibri" w:cs="Calibri"/>
              </w:rPr>
              <w:t xml:space="preserve">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4" type="#_x0000_t75" style="width:11.25pt;height:12pt">
                  <v:imagedata r:id="rId290" o:title=""/>
                </v:shape>
              </w:pict>
            </w:r>
            <w:r>
              <w:rPr>
                <w:rFonts w:ascii="Calibri" w:hAnsi="Calibri" w:cs="Calibri"/>
              </w:rPr>
              <w:t xml:space="preserve">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5" type="#_x0000_t75" style="width:11.25pt;height:12pt">
                  <v:imagedata r:id="rId290" o:title=""/>
                </v:shape>
              </w:pict>
            </w:r>
            <w:r>
              <w:rPr>
                <w:rFonts w:ascii="Calibri" w:hAnsi="Calibri" w:cs="Calibri"/>
              </w:rPr>
              <w:t xml:space="preserve"> 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6" type="#_x0000_t75" style="width:11.25pt;height:12pt">
                  <v:imagedata r:id="rId290" o:title=""/>
                </v:shape>
              </w:pict>
            </w:r>
            <w:r>
              <w:rPr>
                <w:rFonts w:ascii="Calibri" w:hAnsi="Calibri" w:cs="Calibri"/>
              </w:rPr>
              <w:t xml:space="preserve"> 0,6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7" type="#_x0000_t75" style="width:11.25pt;height:12pt">
                  <v:imagedata r:id="rId290" o:title=""/>
                </v:shape>
              </w:pict>
            </w:r>
            <w:r>
              <w:rPr>
                <w:rFonts w:ascii="Calibri" w:hAnsi="Calibri" w:cs="Calibri"/>
              </w:rPr>
              <w:t xml:space="preserve"> 0,8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8" type="#_x0000_t75" style="width:11.25pt;height:12pt">
                  <v:imagedata r:id="rId290" o:title=""/>
                </v:shape>
              </w:pict>
            </w:r>
            <w:r>
              <w:rPr>
                <w:rFonts w:ascii="Calibri" w:hAnsi="Calibri" w:cs="Calibri"/>
              </w:rPr>
              <w:t xml:space="preserve"> 1,1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099" type="#_x0000_t75" style="width:11.25pt;height:12pt">
                  <v:imagedata r:id="rId290" o:title=""/>
                </v:shape>
              </w:pict>
            </w:r>
            <w:r>
              <w:rPr>
                <w:rFonts w:ascii="Calibri" w:hAnsi="Calibri" w:cs="Calibri"/>
              </w:rPr>
              <w:t xml:space="preserve"> 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4"/>
              </w:rPr>
              <w:pict>
                <v:shape id="_x0000_i1100" type="#_x0000_t75" style="width:11.25pt;height:12pt">
                  <v:imagedata r:id="rId290" o:title=""/>
                </v:shape>
              </w:pict>
            </w:r>
            <w:r>
              <w:rPr>
                <w:rFonts w:ascii="Calibri" w:hAnsi="Calibri" w:cs="Calibri"/>
              </w:rPr>
              <w:t xml:space="preserve"> 2,5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 к 2012 году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обновляемых программно-технических средств автоматизации ИВС Росстата в связи с их физическим и моральным износом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дополнительных показателей, характеризующих сельскохозяйственную деятельность </w:t>
            </w:r>
            <w:r>
              <w:rPr>
                <w:rFonts w:ascii="Calibri" w:hAnsi="Calibri" w:cs="Calibri"/>
              </w:rPr>
              <w:lastRenderedPageBreak/>
              <w:t>субъектов малого предпринимательства и хозяйств населения, обследуемых в межпереписной период с применением выборочного метода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характеризующих состояние сельского хозяйства в разрезе муниципальных образований (сельские и городские поселения)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70" w:name="Par5602"/>
            <w:bookmarkEnd w:id="270"/>
            <w:r>
              <w:rPr>
                <w:rFonts w:ascii="Calibri" w:hAnsi="Calibri" w:cs="Calibri"/>
              </w:rPr>
              <w:t>Подпрограмма "Создание и развитие инновационного центра "Сколково"</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территории иностранных государств, включая США, Европу, Японию</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"Сколково", включая инвестиции в проекты компаний-участников и Сколтех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 участников проекта "Сколково", полученная от результатов исследовательской деятельности (накопленным итогом)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публикаций в журналах, индексируемых в "Сеть науки" (на 1 исследователя Сколтех)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 на одного ППС в год</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Сколтеха, вовлеченных в инновационную деятельность</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Интегральный вклад проекта </w:t>
            </w:r>
            <w:r>
              <w:rPr>
                <w:rFonts w:ascii="Calibri" w:hAnsi="Calibri" w:cs="Calibri"/>
              </w:rPr>
              <w:lastRenderedPageBreak/>
              <w:t>"Сколково" в экономику Российской Федерации (накопленным итогом)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млрд. руб.</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пункты</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средних сроков коммерциализации проектов участников проекта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к базовому году (2012 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65754" w:rsidTr="008C77ED">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71" w:name="Par5711"/>
            <w:bookmarkEnd w:id="271"/>
            <w:r>
              <w:rPr>
                <w:rFonts w:ascii="Calibri" w:hAnsi="Calibri" w:cs="Calibri"/>
              </w:rPr>
              <w:t>"Федеральная целевая программа "Развитие единой государственной системы регистрации прав и кадастрового учета недвижимости (2014 - 2019 годы)"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внедрен единый государственный реестр объектов недвижимости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осуществлен переход к единой геоцентрической открытой системе координат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единицы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площади земельных участков, относящихся к собственности Российской Федерации (за исключением земель лесного, водного </w:t>
            </w:r>
            <w:r>
              <w:rPr>
                <w:rFonts w:ascii="Calibri" w:hAnsi="Calibri" w:cs="Calibri"/>
              </w:rPr>
              <w:lastRenderedPageBreak/>
              <w:t>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лиц, положительно оценивающих качество работы </w:t>
            </w:r>
            <w:r>
              <w:rPr>
                <w:rFonts w:ascii="Calibri" w:hAnsi="Calibri" w:cs="Calibri"/>
              </w:rPr>
              <w:lastRenderedPageBreak/>
              <w:t>регистрационных органов, в общем количестве опрошенных лиц</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консолидировнный бюджет, получаемых от сбора земельного и имущественного налога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кадастрового учета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заявителями в очереди</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минуты</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272" w:name="Par5846"/>
      <w:bookmarkEnd w:id="272"/>
      <w:r>
        <w:rPr>
          <w:rFonts w:ascii="Calibri" w:hAnsi="Calibri" w:cs="Calibri"/>
        </w:rPr>
        <w:t>&lt;*&gt; По данным за девять месяцев 2012 года.</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273" w:name="Par5847"/>
      <w:bookmarkEnd w:id="273"/>
      <w:r>
        <w:rPr>
          <w:rFonts w:ascii="Calibri" w:hAnsi="Calibri" w:cs="Calibri"/>
        </w:rPr>
        <w:t>&lt;**&gt; Указано среднемесячное количество уникальных пользователей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8C77ED" w:rsidRDefault="008C77ED">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274" w:name="Par5853"/>
      <w:bookmarkEnd w:id="274"/>
      <w:r>
        <w:rPr>
          <w:rFonts w:ascii="Calibri" w:hAnsi="Calibri" w:cs="Calibri"/>
        </w:rPr>
        <w:lastRenderedPageBreak/>
        <w:t>Приложение N 1А</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275" w:name="Par5855"/>
      <w:bookmarkEnd w:id="275"/>
      <w:r>
        <w:rPr>
          <w:rFonts w:ascii="Calibri" w:hAnsi="Calibri" w:cs="Calibri"/>
        </w:rPr>
        <w:t>СВЕДЕНИЯ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В РАЗРЕЗЕ СУБЪЕКТОВ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
        <w:gridCol w:w="4144"/>
        <w:gridCol w:w="1141"/>
        <w:gridCol w:w="1142"/>
        <w:gridCol w:w="1141"/>
        <w:gridCol w:w="1142"/>
        <w:gridCol w:w="1141"/>
        <w:gridCol w:w="1142"/>
        <w:gridCol w:w="1141"/>
        <w:gridCol w:w="1142"/>
      </w:tblGrid>
      <w:tr w:rsidR="00C65754">
        <w:tblPrEx>
          <w:tblCellMar>
            <w:top w:w="0" w:type="dxa"/>
            <w:bottom w:w="0" w:type="dxa"/>
          </w:tblCellMar>
        </w:tblPrEx>
        <w:trPr>
          <w:tblCellSpacing w:w="5" w:type="nil"/>
        </w:trPr>
        <w:tc>
          <w:tcPr>
            <w:tcW w:w="676" w:type="dxa"/>
            <w:vMerge w:val="restart"/>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44" w:type="dxa"/>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 (группы субъектов Российской Федерации)</w:t>
            </w:r>
          </w:p>
        </w:tc>
        <w:tc>
          <w:tcPr>
            <w:tcW w:w="9132" w:type="dxa"/>
            <w:gridSpan w:val="8"/>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 их обоснование</w:t>
            </w:r>
          </w:p>
        </w:tc>
      </w:tr>
      <w:tr w:rsidR="00C65754">
        <w:tblPrEx>
          <w:tblCellMar>
            <w:top w:w="0" w:type="dxa"/>
            <w:bottom w:w="0" w:type="dxa"/>
          </w:tblCellMar>
        </w:tblPrEx>
        <w:trPr>
          <w:tblCellSpacing w:w="5" w:type="nil"/>
        </w:trPr>
        <w:tc>
          <w:tcPr>
            <w:tcW w:w="676" w:type="dxa"/>
            <w:vMerge/>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4144" w:type="dxa"/>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141"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14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41"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4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41"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4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41"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42"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C65754">
        <w:tblPrEx>
          <w:tblCellMar>
            <w:top w:w="0" w:type="dxa"/>
            <w:bottom w:w="0" w:type="dxa"/>
          </w:tblCellMar>
        </w:tblPrEx>
        <w:trPr>
          <w:tblCellSpacing w:w="5" w:type="nil"/>
        </w:trPr>
        <w:tc>
          <w:tcPr>
            <w:tcW w:w="4820" w:type="dxa"/>
            <w:gridSpan w:val="2"/>
            <w:tcBorders>
              <w:top w:val="single" w:sz="4" w:space="0" w:color="auto"/>
            </w:tcBorders>
          </w:tcPr>
          <w:p w:rsidR="00C65754" w:rsidRDefault="00C65754">
            <w:pPr>
              <w:widowControl w:val="0"/>
              <w:autoSpaceDE w:val="0"/>
              <w:autoSpaceDN w:val="0"/>
              <w:adjustRightInd w:val="0"/>
              <w:spacing w:after="0" w:line="240" w:lineRule="auto"/>
              <w:outlineLvl w:val="2"/>
              <w:rPr>
                <w:rFonts w:ascii="Calibri" w:hAnsi="Calibri" w:cs="Calibri"/>
              </w:rPr>
            </w:pPr>
            <w:bookmarkStart w:id="276" w:name="Par5870"/>
            <w:bookmarkEnd w:id="276"/>
            <w:r>
              <w:rPr>
                <w:rFonts w:ascii="Calibri" w:hAnsi="Calibri" w:cs="Calibri"/>
              </w:rPr>
              <w:t>1. Количество новых рабочих мест, созданных субъектами малого и среднего предпринимательства в тыс. шт.</w:t>
            </w:r>
          </w:p>
        </w:tc>
        <w:tc>
          <w:tcPr>
            <w:tcW w:w="1141"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193,29</w:t>
            </w:r>
          </w:p>
        </w:tc>
        <w:tc>
          <w:tcPr>
            <w:tcW w:w="114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200,0</w:t>
            </w:r>
          </w:p>
        </w:tc>
        <w:tc>
          <w:tcPr>
            <w:tcW w:w="1141"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200,0</w:t>
            </w:r>
          </w:p>
        </w:tc>
        <w:tc>
          <w:tcPr>
            <w:tcW w:w="114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1141"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114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1141"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c>
          <w:tcPr>
            <w:tcW w:w="114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 Санкт-Петербург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Еврейский АО</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АО</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Чукотский АО</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АО</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77" w:name="Par6709"/>
            <w:bookmarkEnd w:id="277"/>
            <w:r>
              <w:rPr>
                <w:rFonts w:ascii="Calibri" w:hAnsi="Calibri" w:cs="Calibri"/>
              </w:rPr>
              <w:t>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подготовленных для организаций народного хозяйства Российской Федерации всего, в том числе:</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C65754">
        <w:tblPrEx>
          <w:tblCellMar>
            <w:top w:w="0" w:type="dxa"/>
            <w:bottom w:w="0" w:type="dxa"/>
          </w:tblCellMar>
        </w:tblPrEx>
        <w:trPr>
          <w:tblCellSpacing w:w="5" w:type="nil"/>
        </w:trPr>
        <w:tc>
          <w:tcPr>
            <w:tcW w:w="6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67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14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141"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1"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8C77ED" w:rsidRDefault="008C77ED">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278" w:name="Par7554"/>
      <w:bookmarkEnd w:id="278"/>
      <w:r>
        <w:rPr>
          <w:rFonts w:ascii="Calibri" w:hAnsi="Calibri" w:cs="Calibri"/>
        </w:rPr>
        <w:lastRenderedPageBreak/>
        <w:t>Приложение N 2</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279" w:name="Par7556"/>
      <w:bookmarkEnd w:id="279"/>
      <w:r>
        <w:rPr>
          <w:rFonts w:ascii="Calibri" w:hAnsi="Calibri" w:cs="Calibri"/>
        </w:rPr>
        <w:t>ПЕРЕЧЕНЬ</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ВЕДОМСТВЕННЫХ ЦЕЛЕВЫХ ПРОГРАММ И ОСНОВНЫХ МЕРОПРИЯТИЙ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43"/>
        <w:gridCol w:w="2197"/>
        <w:gridCol w:w="1991"/>
        <w:gridCol w:w="1194"/>
        <w:gridCol w:w="1194"/>
        <w:gridCol w:w="2615"/>
        <w:gridCol w:w="2462"/>
        <w:gridCol w:w="2549"/>
      </w:tblGrid>
      <w:tr w:rsidR="00C65754" w:rsidTr="008C77ED">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непосредственный результат (краткое описание)</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нереализации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C65754" w:rsidTr="008C77ED">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0" w:type="auto"/>
            <w:vMerge/>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r>
      <w:tr w:rsidR="00C65754" w:rsidTr="008C77ED">
        <w:tblPrEx>
          <w:tblCellMar>
            <w:top w:w="0" w:type="dxa"/>
            <w:bottom w:w="0" w:type="dxa"/>
          </w:tblCellMar>
        </w:tblPrEx>
        <w:trPr>
          <w:tblCellSpacing w:w="5" w:type="nil"/>
        </w:trPr>
        <w:tc>
          <w:tcPr>
            <w:tcW w:w="0" w:type="auto"/>
            <w:gridSpan w:val="8"/>
            <w:tcBorders>
              <w:top w:val="single" w:sz="4" w:space="0" w:color="auto"/>
            </w:tcBorders>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0" w:name="Par7570"/>
            <w:bookmarkEnd w:id="280"/>
            <w:r>
              <w:rPr>
                <w:rFonts w:ascii="Calibri" w:hAnsi="Calibri" w:cs="Calibri"/>
              </w:rPr>
              <w:t>Подпрограмма "Формирование благоприятной инвестиционной среды"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благоприятных условий для привлечения инвестиций в экономику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Улучшение условий привлечения для работы и нахождения иностранных граждан, в т.ч. высококвалифицированных специалистов на территории Российской Федерации; совершенствование таможенных процедур и их правоприменение;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w:t>
            </w:r>
            <w:r>
              <w:rPr>
                <w:rFonts w:ascii="Calibri" w:hAnsi="Calibri" w:cs="Calibri"/>
              </w:rPr>
              <w:lastRenderedPageBreak/>
              <w:t>административных барьеров; реализация проектов по повышению энергоэффективности; развитие финансового рынка; стимулирование внедрения высоких технологий в российской экономике; развитие производства потребительских товаров;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Улучшение инвестиционного имиджа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Организация ключевых российских и международных экономических и инвестиционных форумов, семинаров и конференций;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Обеспечение содействия деятельности иностранных инвесторов на территории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6. Содействие привлечению иностранных инвестиций в экономику Российской Федерации, а также улучшение инвестиционного климата для иностранных </w:t>
            </w:r>
            <w:r>
              <w:rPr>
                <w:rFonts w:ascii="Calibri" w:hAnsi="Calibri" w:cs="Calibri"/>
              </w:rPr>
              <w:lastRenderedPageBreak/>
              <w:t>инвесторов;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 Содействие иностранным компаниям в локализации производств на территории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Взаимодействие с иностранными компаниями и органами власти зарубежных государств в части активизации двустороннего инвестиционного сотрудничества;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9. Сопровождение инвестиционных проектов, реализация ряда мероприятий, направленных на улучшение инвестиционного имиджа;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10. Создание благоприятных налоговых условий для роста инвестиций в основные фонды;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11. Разработка и экспертиза нормативных правовых актов в области законодательства Российской Федерации о налогах и сборах;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12. Сближение налогового и бухгалтерского учета;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13. Совершенствование налогообложения финансовых инструментов;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14. Проработка вопроса изменения налоговой нагрузки на сырьевые отрасли;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15. Введение на территории Российской Федерации налога на недвижимость;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16. Осуществление единой согласованной экономической политики в сфере развития механизмов ГЧП;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17. Правовое обеспечение функционирования механизмов ГЧП;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18. Адресное взаимодействие с инвесторами;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19. Совершенствование законодательства в сфере ГЧП;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 Распространение лучшего опыта ГЧП;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21. Методологическое сопровождение </w:t>
            </w:r>
            <w:r>
              <w:rPr>
                <w:rFonts w:ascii="Calibri" w:hAnsi="Calibri" w:cs="Calibri"/>
              </w:rPr>
              <w:lastRenderedPageBreak/>
              <w:t>субъектов Российской Федерации по вопросам ГЧП;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22. Обеспечение эффективного функционирования РФПИ и АНО "Агентство стратегических инициатив по продвижению новых проектов"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инвестиционной привлекательности и инвестиционного имиджа России, отток иностранных инвестиций. Создание барьеров для успешного взаимодействия с иностранными инвесторами.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 "Объем прямых иностранных инвестиций в российскую экономику", "Эффективность предоставления налоговых льгот (по опросам налогоплательщиков)"</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корпоративного управления"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Либерализация законодательства об акционерных обществах в части повышения договорной свободы непубличных обществ;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3. Электронное межведомственное взаимодействие регистрирующего органа, в том числе налоговых органов, и </w:t>
            </w:r>
            <w:r>
              <w:rPr>
                <w:rFonts w:ascii="Calibri" w:hAnsi="Calibri" w:cs="Calibri"/>
              </w:rPr>
              <w:lastRenderedPageBreak/>
              <w:t>государственных внебюджетных фондов в целях оптимизации процедуры предоставления сведений при регистрации юридических лиц и постановки на налоговый учет по принципу "одного окна";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Совершенствование механизмов раскрытия существенной информации о деятельности юридических лиц в целях повышения доступности данной информации для заинтересованных лиц и снижения издержек юридических лиц на ее раскрытие;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5. 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w:t>
            </w:r>
            <w:r>
              <w:rPr>
                <w:rFonts w:ascii="Calibri" w:hAnsi="Calibri" w:cs="Calibri"/>
              </w:rPr>
              <w:lastRenderedPageBreak/>
              <w:t>проведении общих собраний акционеров;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хозяйственных обществ и практики его применения для лучшей защиты прав акционеров и заинтересованных лиц;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 Совершенствование процедур банкротства отдельных категорий должников (физических лиц, кредитных организаций, предпринимательских групп);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Подготовка нормативных правовых актов, определяющих порядок применения и функционирования Единого федерального реестра сведений о банкротстве;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9. Совершенствование механизмов, способствующих выявлению признаков преднамеренного банкротства, а также расширения полномочий арбитражного управляющего, направленных на возврат активов должника, отчужденных в преддверии банкротства;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10. Повышение эффективности реализации имущества и имущественных прав в ходе принудительного взыскания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Одним из основных факторов нереализации может служить отсутствие финансирования либо финансирование в недостаточном объеме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 "Оценка Российской Федерации в рейтинге конкурентоспособности стран Мирового экономического форума"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качества оценки регулирующего воздействия нормативных правовых актов и их проектов"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деятельности, а </w:t>
            </w:r>
            <w:r>
              <w:rPr>
                <w:rFonts w:ascii="Calibri" w:hAnsi="Calibri" w:cs="Calibri"/>
              </w:rPr>
              <w:lastRenderedPageBreak/>
              <w:t>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Принятие нормативных правовых актов, влекущих возникновение избыточных административных и иных ограничений, обязанностей, необоснованных расходов у субъектов предпринимательской и иной деятельности. Снижение темпов экономического роста. Ухудшение </w:t>
            </w:r>
            <w:r>
              <w:rPr>
                <w:rFonts w:ascii="Calibri" w:hAnsi="Calibri" w:cs="Calibri"/>
              </w:rPr>
              <w:lastRenderedPageBreak/>
              <w:t>инвестиционного климата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России в рейтинге Всемирного банка "Ведение бизнеса" (Doing Business)", "Доля прямых иностранных инвестиций в российской экономике к ВВП, %", "Объем прямых </w:t>
            </w:r>
            <w:r>
              <w:rPr>
                <w:rFonts w:ascii="Calibri" w:hAnsi="Calibri" w:cs="Calibri"/>
              </w:rPr>
              <w:lastRenderedPageBreak/>
              <w:t>иностранных инвестиций в российскую экономику"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особых экономических зон"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Создание эффективной инновационной инфраструктуры на территориях ОЭЗ;</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ОЭЗ и целью развития регионов;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3. Создание инженерной, транспортной, </w:t>
            </w:r>
            <w:r>
              <w:rPr>
                <w:rFonts w:ascii="Calibri" w:hAnsi="Calibri" w:cs="Calibri"/>
              </w:rPr>
              <w:lastRenderedPageBreak/>
              <w:t>социальной, инновационной и иной инфраструктуры ОЭЗ за счет средств бюджетов всех уровней;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Обеспечение потребностей резидентов ОЭЗ в газо-, водо-, тепло-, энергоснабжении;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Формирование системы управления ОЭЗ, включая организацию передачи части полномочий по управлению ОЭЗ субъектам Российской Федерации и организациям управления;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Обеспечение контроля за исполнением резидентами соглашений о ведении деятельности на территории ОЭЗ;</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 Поддержка производства импортозамещающей продукции;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Развитие экспорта высокотехнологичной продукции и интеллектуальных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9. Создание новых рабочих мест;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10. Отбор инвестиционных проектов, осуществляемых в рамках модернизации российской экономики, имеющих общегосударственное значение, с целью предоставления государственных гарантий Российской Федерации по кредитам либо облигационным займам, привлекаемым на осуществление этих проектов, в рамках </w:t>
            </w:r>
            <w:hyperlink r:id="rId29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декабря 2010 г. N 1016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препятствий эффективному развитию ОЭЗ и регионов в целом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 "Объем товаров/услуг, произведенных/оказанных резидентами ОЭЗ"</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благоприятной конкурентной среды"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Создание условий для стимулирования предпринимательской деятельности;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Установление возможности равного доступа всем заинтересованным хозяйствующим субъектам равного доступа к информации о проведении торгов в отношении прав и </w:t>
            </w:r>
            <w:r>
              <w:rPr>
                <w:rFonts w:ascii="Calibri" w:hAnsi="Calibri" w:cs="Calibri"/>
              </w:rPr>
              <w:lastRenderedPageBreak/>
              <w:t>объектов, находящихся в государственной и муниципальной собственности;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Создание системы оценки состояния конкурентной среды в Российской Федерации, включая системы оценки конкурентной среды в субъектах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Активизация региональной конкурентной политики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будут созданы предпосылки для стабильного развития российской экономики в долгосрочной перспективе. В части совершенствования процедуры государственных и муниципальных закупок, планирования и исполнения государственного </w:t>
            </w:r>
            <w:r>
              <w:rPr>
                <w:rFonts w:ascii="Calibri" w:hAnsi="Calibri" w:cs="Calibri"/>
              </w:rPr>
              <w:lastRenderedPageBreak/>
              <w:t>заказа не будут созданы условия для эффективного расходования бюджетных средств при размещении заказов на поставки товаров, работ услуг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мероприятий данного основного мероприятия обеспечит достижение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(оценка) России в международном рейтинге "Условия ведения бизнеса" (Doing Business), выпускаемом ежегодно Всемирным </w:t>
            </w:r>
            <w:r>
              <w:rPr>
                <w:rFonts w:ascii="Calibri" w:hAnsi="Calibri" w:cs="Calibri"/>
              </w:rPr>
              <w:lastRenderedPageBreak/>
              <w:t>банком",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"Динамика посещаемости официального сайта Российской Федерации в информационно-телекоммуникационной сети Интернет для размещения информации о проведении торгов torgi.gov.ru (увеличение посещаемости в год по сравнению с 2011 годом)",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"Индекс развития конкурентной среды на рынках товаров и услуг, рассчитанного на основе методики расчета индекса PMR ОЭСР"</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контроля за применением антимонопольного законодательства"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1. 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w:t>
            </w:r>
            <w:r>
              <w:rPr>
                <w:rFonts w:ascii="Calibri" w:hAnsi="Calibri" w:cs="Calibri"/>
              </w:rPr>
              <w:lastRenderedPageBreak/>
              <w:t>экономики и направленной на создание правовой среды для равной, добросовестной конкуренции.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Повышение эффективности системы информирования участников рынка о возможностях использования антимонопольного законодательства для защиты их прав и о правоприменительной практике в этой области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Повышение оперативности деятельности антимонопольных органов за счет автоматизации работы во всех областях их компетенции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5. Минимизация административных барьеров, ограничивающих конкуренцию</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 Защита потребителей и участников рынков от ненадлежащей рекламы и восстановление баланса, нарушенного в результате таких нарушений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9. Развитие добросовестной </w:t>
            </w:r>
            <w:r>
              <w:rPr>
                <w:rFonts w:ascii="Calibri" w:hAnsi="Calibri" w:cs="Calibri"/>
              </w:rPr>
              <w:lastRenderedPageBreak/>
              <w:t>конкуренции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10. Защита потребителей и участников рынков от действий естественных монополий, ограничивающих доступ к услугам естественных монополий и препятствующих развитию конкуренции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11. Создание условий для развития конкуренции в сферах деятельности естественных монополий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деловой активности иностранных инвесторов. Неэффективный контроль со стороны государства за иностранными инвестициями в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устраненных нарушений в общем </w:t>
            </w:r>
            <w:r>
              <w:rPr>
                <w:rFonts w:ascii="Calibri" w:hAnsi="Calibri" w:cs="Calibri"/>
              </w:rPr>
              <w:lastRenderedPageBreak/>
              <w:t>числе выявленных нарушений антимонопольного законодательства".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"Создание условий для эффективной реализации государственной политики в области контроля иностранных </w:t>
            </w:r>
            <w:r>
              <w:rPr>
                <w:rFonts w:ascii="Calibri" w:hAnsi="Calibri" w:cs="Calibri"/>
              </w:rPr>
              <w:lastRenderedPageBreak/>
              <w:t>инвестиций в хозяйственные общества, имеющие стратегическое значение"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2. Проведение проверок хозяйственных обществ, в отношении которых планируются сделки с участием иностранных инвесторов;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3. Подготовка запросов в соответствии со </w:t>
            </w:r>
            <w:hyperlink r:id="rId292" w:history="1">
              <w:r>
                <w:rPr>
                  <w:rFonts w:ascii="Calibri" w:hAnsi="Calibri" w:cs="Calibri"/>
                  <w:color w:val="0000FF"/>
                </w:rPr>
                <w:t>статьей 10</w:t>
              </w:r>
            </w:hyperlink>
            <w:r>
              <w:rPr>
                <w:rFonts w:ascii="Calibri" w:hAnsi="Calibri" w:cs="Calibri"/>
              </w:rPr>
              <w:t xml:space="preserve"> Закона N 57-ФЗ в компетентные органы по вопросам рассмотрения ходатайств и уведомлений;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Подготовка проектов соглашений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Оформление решений Правительственной комиссии по контролю за осуществлением иностранных инвестиций в Российской Федерации и направление их заявителям;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6. Проведение проверок </w:t>
            </w:r>
            <w:r>
              <w:rPr>
                <w:rFonts w:ascii="Calibri" w:hAnsi="Calibri" w:cs="Calibri"/>
              </w:rPr>
              <w:lastRenderedPageBreak/>
              <w:t>выполнения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7. Согласование ходатайств и уведомлений иностранных инвесторов, поданных в порядке, установленном </w:t>
            </w:r>
            <w:hyperlink r:id="rId293" w:history="1">
              <w:r>
                <w:rPr>
                  <w:rFonts w:ascii="Calibri" w:hAnsi="Calibri" w:cs="Calibri"/>
                  <w:color w:val="0000FF"/>
                </w:rPr>
                <w:t>Законом</w:t>
              </w:r>
            </w:hyperlink>
            <w:r>
              <w:rPr>
                <w:rFonts w:ascii="Calibri" w:hAnsi="Calibri" w:cs="Calibri"/>
              </w:rPr>
              <w:t xml:space="preserve"> N 135-ФЗ, в целях предупреждения возможных нарушений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деловой активности добросовестных иностранных инвесторов. Неэффективный контроль со стороны государства за осуществлением </w:t>
            </w:r>
            <w:r>
              <w:rPr>
                <w:rFonts w:ascii="Calibri" w:hAnsi="Calibri" w:cs="Calibri"/>
              </w:rPr>
              <w:lastRenderedPageBreak/>
              <w:t>иностранных инвестиций в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прямых иностранных инвестиций </w:t>
            </w:r>
            <w:r>
              <w:rPr>
                <w:rFonts w:ascii="Calibri" w:hAnsi="Calibri" w:cs="Calibri"/>
              </w:rPr>
              <w:lastRenderedPageBreak/>
              <w:t>в российской экономике к ВВП,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прямых иностранных инвестиций в российскую экономику".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проекта МБРР "Поддержка судебной реформы"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w:t>
            </w:r>
            <w:r>
              <w:rPr>
                <w:rFonts w:ascii="Calibri" w:hAnsi="Calibri" w:cs="Calibri"/>
              </w:rPr>
              <w:lastRenderedPageBreak/>
              <w:t>инвестиционный климат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оценки частным сектором и общественностью открытости и эффективности судебной системы, снижение инвестиционной привлекательности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данного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прямых иностранных инвестиций в российской экономике к ВВП,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прямых иностранных инвестиций </w:t>
            </w:r>
            <w:r>
              <w:rPr>
                <w:rFonts w:ascii="Calibri" w:hAnsi="Calibri" w:cs="Calibri"/>
              </w:rPr>
              <w:lastRenderedPageBreak/>
              <w:t>в российскую экономику"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и реализация проекта МБРР "Содействие созданию и развитию особых экономических зон в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экономических зон, что окажет положительное влияние на инвестиционный климат Российской Федерации к 2015 году)</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оценки иностранными и отечественными инвесторами механизма особых экономических зон, снижение инвестиционной привлекательности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обеспечит достижение значений следующих показателей задач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товаров/услуг, произведенных/оказанных резидентами ОЭЗ"</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"Формирование и развитие федеральной контрактной системы"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Обеспечение прозрачности всего цикла закупок от планирования </w:t>
            </w:r>
            <w:r>
              <w:rPr>
                <w:rFonts w:ascii="Calibri" w:hAnsi="Calibri" w:cs="Calibri"/>
              </w:rPr>
              <w:lastRenderedPageBreak/>
              <w:t>до приемки и анализа контрактных результатов;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Предотвращение коррупции и других злоупотреблений в сфере обеспечения государственных и муниципальных нужд;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Формирование единой информационной системы федеральной контрактной системы, обеспечивающей формирование, обработку, хранение и предоставление данных на всех этапах прогнозирования, планирования и осуществления закупок.</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эффективности расходования бюджетных средств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обеспечит достижение значений показателя "Оценка Российской Федерации в рейтинге конкурентоспособности стран Всемирного экономического форума"</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1" w:name="Par7728"/>
            <w:bookmarkEnd w:id="281"/>
            <w:r>
              <w:rPr>
                <w:rFonts w:ascii="Calibri" w:hAnsi="Calibri" w:cs="Calibri"/>
              </w:rPr>
              <w:lastRenderedPageBreak/>
              <w:t>Подпрограмма "Развитие малого и среднего предпринимательства"</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"Федеральная финансовая программа поддержки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2016 года не менее 200 тыс. рабочих мест </w:t>
            </w:r>
            <w:r>
              <w:rPr>
                <w:rFonts w:ascii="Calibri" w:hAnsi="Calibri" w:cs="Calibri"/>
              </w:rPr>
              <w:lastRenderedPageBreak/>
              <w:t>ежегодно, с 2016 до 2020 года - не менее 150 тыс. рабочих мест ежегодно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поступлений страховых взносов и сокращение поступлений по НДФЛ, повышение социальной напряженности и увеличение разрыва доходов населения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предприятий, и у индивидуальных предпринимателей, в общей численности занятого населения возрастет с 26,7% в 2013 году до 27,4% в 2015 году и 29,3% в 2020 году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законодательства в сфере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Будут разработаны: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упрощенные стандарты бухгалтерской отчетности;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принципы и механизмы передачи на аутсорсинг работ (услуг) компаниям с государственным участием, утвердившим программы инновационного развития. Произойдет увеличение: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количества индивидуальных предпринимателей, находящихся на патентной системе налогообложения;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количества размещаемых государственными корпорациями и монополиями заказов (работ) у субъектов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 количества субъектов малого и среднего предпринимательства, создаваемых молодыми </w:t>
            </w:r>
            <w:r>
              <w:rPr>
                <w:rFonts w:ascii="Calibri" w:hAnsi="Calibri" w:cs="Calibri"/>
              </w:rPr>
              <w:lastRenderedPageBreak/>
              <w:t>людьми в возрасте до 30 лет. Будут совершенствованы: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специальные режимы налогообложения;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законодательство по отчуждению государственного и муниципального имущества, выкупаемого субъектами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нормативная правовая база Центрального Банка России, регулирующая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трудовое законодательство, регулирующее отношения в секторе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методика проведения выборочных статистических наблюдений за деятельностью субъектов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1. Замедление темпов роста ВВП</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Снижение доходов муниципальных бюджетов бюджета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Уход малых предприятий в "теневой" сектор экономики</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2" w:name="Par7757"/>
            <w:bookmarkEnd w:id="282"/>
            <w:r>
              <w:rPr>
                <w:rFonts w:ascii="Calibri" w:hAnsi="Calibri" w:cs="Calibri"/>
              </w:rPr>
              <w:lastRenderedPageBreak/>
              <w:t>Подпрограмма "Создание благоприятных условий для развития рынка недвижимости"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"Обеспечение функций по государственному кадастровому учету, государственной регистрации прав и картографии"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Росреестр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1. Создание единой </w:t>
            </w:r>
            <w:r>
              <w:rPr>
                <w:rFonts w:ascii="Calibri" w:hAnsi="Calibri" w:cs="Calibri"/>
              </w:rPr>
              <w:lastRenderedPageBreak/>
              <w:t>системы государственной регистрации прав на недвижимое имущество и сделок с ним;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Сохранение низкого </w:t>
            </w:r>
            <w:r>
              <w:rPr>
                <w:rFonts w:ascii="Calibri" w:hAnsi="Calibri" w:cs="Calibri"/>
              </w:rPr>
              <w:lastRenderedPageBreak/>
              <w:t>уровня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условий для заявителей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поступивших в </w:t>
            </w:r>
            <w:r>
              <w:rPr>
                <w:rFonts w:ascii="Calibri" w:hAnsi="Calibri" w:cs="Calibri"/>
              </w:rPr>
              <w:lastRenderedPageBreak/>
              <w:t>электронной форме заявлений о государственном кадастровом учете от общего количества заявлений о государственном кадастровом учете; доля поступивших в электронной форме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предоставленных в многофункциональных </w:t>
            </w:r>
            <w:r>
              <w:rPr>
                <w:rFonts w:ascii="Calibri" w:hAnsi="Calibri" w:cs="Calibri"/>
              </w:rPr>
              <w:lastRenderedPageBreak/>
              <w:t>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"Институциональное развитие в сфере управления земельными ресурсами"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земельных ресурсов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Не будут достигнуты цели, определенные </w:t>
            </w:r>
            <w:hyperlink r:id="rId29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2002 г. N 846 "Об утверждении положения об осуществлении государственного мониторинга земель";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возникновение проблем, связанных с деградацией земель, выводом этих земель из оборота, ухудшением экологической обстановки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инфраструктуры </w:t>
            </w:r>
            <w:r>
              <w:rPr>
                <w:rFonts w:ascii="Calibri" w:hAnsi="Calibri" w:cs="Calibri"/>
              </w:rPr>
              <w:lastRenderedPageBreak/>
              <w:t>пространственных данных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Росреестр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высокоэффективной системы геодезического и картографического </w:t>
            </w:r>
            <w:r>
              <w:rPr>
                <w:rFonts w:ascii="Calibri" w:hAnsi="Calibri" w:cs="Calibri"/>
              </w:rPr>
              <w:lastRenderedPageBreak/>
              <w:t>обеспечения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Приостановится создание и обновление государственных топографических карт и </w:t>
            </w:r>
            <w:r>
              <w:rPr>
                <w:rFonts w:ascii="Calibri" w:hAnsi="Calibri" w:cs="Calibri"/>
              </w:rPr>
              <w:lastRenderedPageBreak/>
              <w:t>планов, являющихся основой государственного кадастра недвижимости и навигационных карт.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Тем самым будет нанесен ущерб социально-экономическому развитию страны, ее обороноспособности и безопасности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Обеспеченность территории Российской Федерации цифровыми топографическими </w:t>
            </w:r>
            <w:r>
              <w:rPr>
                <w:rFonts w:ascii="Calibri" w:hAnsi="Calibri" w:cs="Calibri"/>
              </w:rPr>
              <w:lastRenderedPageBreak/>
              <w:t>картами открытого пользования с минимальным сроком соответствия не более 5 лет (нарастающим итогом)</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проекта международного банка реконструкции и развития "Развитие системы государственной регистрации прав на недвижимость"</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совершенной системы регистрации прав на недвижимое имущество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доля поступивших в электронной форме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от общего количества </w:t>
            </w:r>
            <w:r>
              <w:rPr>
                <w:rFonts w:ascii="Calibri" w:hAnsi="Calibri" w:cs="Calibri"/>
              </w:rPr>
              <w:lastRenderedPageBreak/>
              <w:t>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рамках реализации мероприятия планируется деятельность по совершенствованию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эффективного </w:t>
            </w:r>
            <w:r>
              <w:rPr>
                <w:rFonts w:ascii="Calibri" w:hAnsi="Calibri" w:cs="Calibri"/>
              </w:rPr>
              <w:lastRenderedPageBreak/>
              <w:t>использования земельных участков, сочетающегося с общественными потребностями и устойчивым развитием территорий;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сбора и обновления пространственных данных в государственных информационных ресурсах, включая осуществление геодезических и </w:t>
            </w:r>
            <w:r>
              <w:rPr>
                <w:rFonts w:ascii="Calibri" w:hAnsi="Calibri" w:cs="Calibri"/>
              </w:rPr>
              <w:lastRenderedPageBreak/>
              <w:t>картографических работ федерального назначения, а также для обеспечения доступа к таким данным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качества государственного управления в указанных сферах земельных отношений, государственного кадастрового учета объектов недвижимости и регистрации прав на недвижимое имущество и сделок с ним, геодезии, картографии и инфраструктуры пространственных данных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 доля поступивших в электронной форме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от общего количества запросов о предоставлении </w:t>
            </w:r>
            <w:r>
              <w:rPr>
                <w:rFonts w:ascii="Calibri" w:hAnsi="Calibri" w:cs="Calibri"/>
              </w:rPr>
              <w:lastRenderedPageBreak/>
              <w:t>сведений о зарегистрированных правах на недвижимое имущество и сделок с ним и сведений, внесенных в государственный кадастр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3" w:name="Par7807"/>
            <w:bookmarkEnd w:id="283"/>
            <w:r>
              <w:rPr>
                <w:rFonts w:ascii="Calibri" w:hAnsi="Calibri" w:cs="Calibri"/>
              </w:rPr>
              <w:lastRenderedPageBreak/>
              <w:t>Подпрограмма "Совершенствование государственного и муниципального управления"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предоставления государственных услуг и исполнения государственных функций"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Оптимизация исполнения государственных (муниципальных) функций и предоставления государственных (муниципальных)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Повышение качества и доступности государственных (муниципальных) услуг, предоставляемых органами власти.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государственного управления. Неудовлетворенность населения качеством предоставляемых государством услуг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"Снижение административных барьеров"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Совершенствование системы контроля и надзора, предполагающее </w:t>
            </w:r>
            <w:r>
              <w:rPr>
                <w:rFonts w:ascii="Calibri" w:hAnsi="Calibri" w:cs="Calibri"/>
              </w:rPr>
              <w:lastRenderedPageBreak/>
              <w:t>сокращение административных ограничений предпринимательской деятельности.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инвестиционного климата. Создание административных барьеров для бизнеса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"Формирование единой национальной системы аккредитации"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аккредитации (Росаккредитация)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 повышению конкурентоспособности российской экономики и созданию условий для развития предпринимательской деятельности, повышения качества товаров, работ, услуг.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результатов работ по оценке соответствия, снижение уровня безопасности продукции. Рост издержек органов по оценке соответствия на аккредитацию. Сохранение барьеров, препятствующих выходу на внешние рынки из-за отсутствия международного признания результатов оценки соответствия.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4" w:name="Par7834"/>
            <w:bookmarkEnd w:id="284"/>
            <w:r>
              <w:rPr>
                <w:rFonts w:ascii="Calibri" w:hAnsi="Calibri" w:cs="Calibri"/>
              </w:rPr>
              <w:t>Подпрограмма "Стимулирование инноваций"</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координации инновационной политики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Будет обеспечен мониторинг реализации Стратегии инновационного развития Российской Федерации до 2020 года. Вырастет эффективность </w:t>
            </w:r>
            <w:r>
              <w:rPr>
                <w:rFonts w:ascii="Calibri" w:hAnsi="Calibri" w:cs="Calibri"/>
              </w:rPr>
              <w:lastRenderedPageBreak/>
              <w:t>расходования бюджетных средств.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Позволит перейти от реализации отдельных программ и мер в этой области к формированию целостной инновационной системы.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Сохранится фрагментарность и некоординированность мер государственного стимулирования инновационной деятельности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"Поддержка создания и обеспечение функционирования и развития технологических платформ"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финансирования НИОКР за счет внебюджетных источников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 Будут сформированы новые партнерства в инновационной сфере, новые цепочки формирования добавленной стоимости и производства продукции (услуг) более высокого передела. Увеличится эффективность координации организаций, входящих в технологические платформы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принципиального направления совершенствования отраслевого регулирования не будет обеспечено достаточным уровнем финансирования, что замедлит распространение перспективных технологий и модернизацию экономики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координации реализации Комплексной программы развития биотехнологий в Российской Федерации на период до 2020 года"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Будет обеспечен мониторинг реализации Комплексной программы развития биотехнологий 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Вырастет эффективность расходования бюджетных средств в данной сфере.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Позволит перейти от реализации отдельных мероприятий по поддержке сферы в формированию целостной системы развития биоэкономики в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Сохранится фрагментарность и некоординированность мер государственного стимулирования развития сектора биотехнологий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"Стимулирование инноваций в компаниях с государственным участием"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Повысится глобальная конкурентоспособность компаний. Увеличится спрос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Низкие темпы роста большинства секторов экономики.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Низкие темпы роста экспорта высокотехнологичных товаров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"Мероприятия по реализации проектов Комиссии при </w:t>
            </w:r>
            <w:r>
              <w:rPr>
                <w:rFonts w:ascii="Calibri" w:hAnsi="Calibri" w:cs="Calibri"/>
              </w:rPr>
              <w:lastRenderedPageBreak/>
              <w:t>Президенте Российской Федерации по модернизации и технологическому развитию экономики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Произойдет диверсификация экономики и внешнеторгового оборота, снизится доля </w:t>
            </w:r>
            <w:r>
              <w:rPr>
                <w:rFonts w:ascii="Calibri" w:hAnsi="Calibri" w:cs="Calibri"/>
              </w:rPr>
              <w:lastRenderedPageBreak/>
              <w:t>сырьевого экспорта. 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мировое лидерство</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Сохранится зависимость от конъюнктуры мировых товарных рынков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 институтов и инфраструктур, обеспечивающих запуск и работу "инновационного лифта"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Коммерциализация научных исследований и создания новых предприятий. Вырастет эффективность государственной поддержки исследовательской деятельности. Снизятся издержки предприятий при внедрении результатов исследовательской деятельности. Будет обеспечена поддержка инновационных проектов на всех стадиях их разработки и реализации, передача от одного института развития к другому</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Низкие темпы роста инновационной активности предприятий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"Повышение инновационности государственных закупок"</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Стимулирование спроса на инновационную </w:t>
            </w:r>
            <w:r>
              <w:rPr>
                <w:rFonts w:ascii="Calibri" w:hAnsi="Calibri" w:cs="Calibri"/>
              </w:rPr>
              <w:lastRenderedPageBreak/>
              <w:t>продукцию. Позволит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Низкие темпы коммерциализации </w:t>
            </w:r>
            <w:r>
              <w:rPr>
                <w:rFonts w:ascii="Calibri" w:hAnsi="Calibri" w:cs="Calibri"/>
              </w:rPr>
              <w:lastRenderedPageBreak/>
              <w:t>исследований и разработок и распространения инновационных технологий и продукции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всех целевых </w:t>
            </w:r>
            <w:r>
              <w:rPr>
                <w:rFonts w:ascii="Calibri" w:hAnsi="Calibri" w:cs="Calibri"/>
              </w:rPr>
              <w:lastRenderedPageBreak/>
              <w:t>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"Поддержка регионов - инновационных лидеров"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Регионы, достигнувшие значительных результатов в разработке и реализации программ инновационного развития, получат дополнительную финансовую поддержку, что будет являться стимулом для расширения инновационной деятельности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 будет обеспечена концентрация бюджетных средств на приоритетах социально-экономического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"Проведение исследований в целях инновационного развития экономики"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Научное обеспечение реализации мероприятий подпрограммы и государственной программы в целом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обоснованности принятия управленческих решений в сфере экономической политики, снижение качества прогнозов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государственной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"Предоставление </w:t>
            </w:r>
            <w:r>
              <w:rPr>
                <w:rFonts w:ascii="Calibri" w:hAnsi="Calibri" w:cs="Calibri"/>
              </w:rPr>
              <w:lastRenderedPageBreak/>
              <w:t>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Роспатент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единых принципов и правил взаимодействия между </w:t>
            </w:r>
            <w:r>
              <w:rPr>
                <w:rFonts w:ascii="Calibri" w:hAnsi="Calibri" w:cs="Calibri"/>
              </w:rPr>
              <w:lastRenderedPageBreak/>
              <w:t xml:space="preserve">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 Сохранение сроков проведения экспертизы заявок на объекты интеллектуальной собственности при прогнозируемом росте объема их поступления, повышение качества экспертизы и выдаваемых охранных документов, повышение эффективности информационно-технологического ресурса </w:t>
            </w:r>
            <w:r>
              <w:rPr>
                <w:rFonts w:ascii="Calibri" w:hAnsi="Calibri" w:cs="Calibri"/>
              </w:rPr>
              <w:lastRenderedPageBreak/>
              <w:t>системы Роспатента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будет обеспечена концентрация бюджетных средств на </w:t>
            </w:r>
            <w:r>
              <w:rPr>
                <w:rFonts w:ascii="Calibri" w:hAnsi="Calibri" w:cs="Calibri"/>
              </w:rPr>
              <w:lastRenderedPageBreak/>
              <w:t>приоритетах социально-экономического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значения всех целевых показателей </w:t>
            </w:r>
            <w:r>
              <w:rPr>
                <w:rFonts w:ascii="Calibri" w:hAnsi="Calibri" w:cs="Calibri"/>
              </w:rPr>
              <w:lastRenderedPageBreak/>
              <w:t>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эффективности деятельности институтов развития в сфере инноваций"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сформированной системы институтов развития в сфере инноваций.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Содействие в реализации инновационных проектов на всех стадиях инновационного цикла и создание условий для стимулирования развития инноваций на принципах частно-государственного партнерства. Повышение эффективности расходования средств на развитие инноваций. Формирование системы показателей, отвечающих задачам инновационного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 будет обеспечена концентрация бюджетных средств на приоритетах социально-экономического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значения всех целевых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университетского комплекса в территориально обособленном инновационном центре "Иннополис"</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 территориально обособленном инновационном центре "Иннополис" будет создан университетский комплекс, на базе которого будет обеспечена подготовка кадров мирового уровня для отрасли </w:t>
            </w:r>
            <w:r>
              <w:rPr>
                <w:rFonts w:ascii="Calibri" w:hAnsi="Calibri" w:cs="Calibri"/>
              </w:rPr>
              <w:lastRenderedPageBreak/>
              <w:t>информационных технологий, выполнение перспективных исследований и реализация инновационных проектов в области информационных технологий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Не будет обеспечена концентрация бюджетных средств на приоритетах социально-экономического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мероприятия влияет на достижение показателя подпрограммы "Удельный вес организаций, осуществлявших технологические инновации, в общем числе организаций"</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5" w:name="Par7936"/>
            <w:bookmarkEnd w:id="285"/>
            <w:r>
              <w:rPr>
                <w:rFonts w:ascii="Calibri" w:hAnsi="Calibri" w:cs="Calibri"/>
              </w:rPr>
              <w:lastRenderedPageBreak/>
              <w:t>Подпрограмма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"Внедрение системы комплексного стимулирующего регулирования"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стабильного государственного регулирования и контроля за ценами и тарифами, в установленных законодательством сферам.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и нефтяную отрасль, транспорт, общедоступную электросвязь и </w:t>
            </w:r>
            <w:r>
              <w:rPr>
                <w:rFonts w:ascii="Calibri" w:hAnsi="Calibri" w:cs="Calibri"/>
              </w:rPr>
              <w:lastRenderedPageBreak/>
              <w:t>общедоступную почтовую связь, сферу тепло-, водоснабжения и водоотведения, транспортную безопасность, оборонный комплекс и социально-значимые товары и услуги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правовых оснований для государственного регулирования цен (тарифов) на товары (услуги) субъектов естественных монополий и организаций, осуществляющих регулируемые виды деятельности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основного мероприятия влияет на все показатели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"Повышение эффективности функционирования естественных монополий и иных организаций, осуществляющих регулируемые виды деятельности"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правового регулирования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Сохранение низкого качества предоставляемых товаров и услуг, а также их недостаточной доступности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основного мероприятия влияет на все показатели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Поэтапный переход к регулированию на основе долгосрочного периода регулирования: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сфере теплоснабжения;</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сфере водоснабжения и водоотведения;</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газовой отрасли</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6" w:name="Par7985"/>
            <w:bookmarkEnd w:id="286"/>
            <w:r>
              <w:rPr>
                <w:rFonts w:ascii="Calibri" w:hAnsi="Calibri" w:cs="Calibri"/>
              </w:rPr>
              <w:t>Подпрограмма "Кадры для инновационной экономики"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"Подготовка не менее 5 000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основанных на активных методах обучения и др."</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w:t>
            </w:r>
            <w:r>
              <w:rPr>
                <w:rFonts w:ascii="Calibri" w:hAnsi="Calibri" w:cs="Calibri"/>
              </w:rPr>
              <w:lastRenderedPageBreak/>
              <w:t>ия России ФБУ "Федеральный ресурсный центр по организации подготовки управленческих кадров"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не менее </w:t>
            </w:r>
            <w:r>
              <w:rPr>
                <w:rFonts w:ascii="Calibri" w:hAnsi="Calibri" w:cs="Calibri"/>
              </w:rPr>
              <w:lastRenderedPageBreak/>
              <w:t>5000 управленцев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увеличение количества специалистов, обучающихся по проектно-ориентированным программам с применением современных методов обучения до 15% от общего количества специалистов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Низкое качество </w:t>
            </w:r>
            <w:r>
              <w:rPr>
                <w:rFonts w:ascii="Calibri" w:hAnsi="Calibri" w:cs="Calibri"/>
              </w:rPr>
              <w:lastRenderedPageBreak/>
              <w:t>управления и неконкурентоспособность российских предприятий, снижение качества реализации проектов в инновационных секторах экономики, невозможность финансирования российскими институтами развития инновационных проектов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показатели </w:t>
            </w:r>
            <w:r>
              <w:rPr>
                <w:rFonts w:ascii="Calibri" w:hAnsi="Calibri" w:cs="Calibri"/>
              </w:rPr>
              <w:lastRenderedPageBreak/>
              <w:t>подпрограммы "Число управленцев, подготовленных в соответствии с Государственным планом подготовки управленческих кадров для организаций народного хозяйства по всем типам образовательных программ", "Количество управленцев, подготовленных для сферы здравоохранения и образования"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"Организация и проведение зарубежных стажировок российских </w:t>
            </w:r>
            <w:r>
              <w:rPr>
                <w:rFonts w:ascii="Calibri" w:hAnsi="Calibri" w:cs="Calibri"/>
              </w:rPr>
              <w:lastRenderedPageBreak/>
              <w:t>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России ФБУ "Федеральный ресурсный центр по организации подготовки управленческих </w:t>
            </w:r>
            <w:r>
              <w:rPr>
                <w:rFonts w:ascii="Calibri" w:hAnsi="Calibri" w:cs="Calibri"/>
              </w:rPr>
              <w:lastRenderedPageBreak/>
              <w:t>кадров"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зарубежных стажировок российских специалистов до 600 человек. Приобретение авиа и ж/д билетов, организация визовой поддержки российских </w:t>
            </w:r>
            <w:r>
              <w:rPr>
                <w:rFonts w:ascii="Calibri" w:hAnsi="Calibri" w:cs="Calibri"/>
              </w:rPr>
              <w:lastRenderedPageBreak/>
              <w:t>специалистов, направляемых на зарубежные стажировки как в рамках взаимных обменов, так и на целевые проектные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 до 700 человек. Проведение стажировок иностранных специалистов в рамках взаимных обменов на территории Российской Федерации не более 125 человек. Проведение зарубежных целевых проектных стажировок российских специалистов не менее 125 человек, включая инновационные стажировки в США не более 50 человек</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Уменьшение количества контактов с зарубежными бизнес-партнерами в российских регионах, невозможность реализации бизнес-</w:t>
            </w:r>
            <w:r>
              <w:rPr>
                <w:rFonts w:ascii="Calibri" w:hAnsi="Calibri" w:cs="Calibri"/>
              </w:rPr>
              <w:lastRenderedPageBreak/>
              <w:t>проектов в целях развития экономики субъектов Российской Федерации, требующих привлечения инвестиций и бизнес-партнеров из других регионов или стран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показатели подпрограммы "Число управленцев, прошедших зарубежные стажировки, как в рамках взаимных обменов, так и целевых </w:t>
            </w:r>
            <w:r>
              <w:rPr>
                <w:rFonts w:ascii="Calibri" w:hAnsi="Calibri" w:cs="Calibri"/>
              </w:rPr>
              <w:lastRenderedPageBreak/>
              <w:t>проектных стажировок", "Количество управленцев в сфере здравоохранения и образования, прошедших зарубежные стажировки", "Число заключенных специалистами, прошедшими зарубежные стажировки, договоров и контрактов в течение 3 лет после окончания зарубежных стажировок"</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"Повышение качества образовательных программ и контроль </w:t>
            </w:r>
            <w:r>
              <w:rPr>
                <w:rFonts w:ascii="Calibri" w:hAnsi="Calibri" w:cs="Calibri"/>
              </w:rPr>
              <w:lastRenderedPageBreak/>
              <w:t>качества подготовки специалистов"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ФБУ "Федеральный ресурсный центр по организации подготовки управленческих кадров"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дальнейшего направления автоматизации Государственного плана подготовки </w:t>
            </w:r>
            <w:r>
              <w:rPr>
                <w:rFonts w:ascii="Calibri" w:hAnsi="Calibri" w:cs="Calibri"/>
              </w:rPr>
              <w:lastRenderedPageBreak/>
              <w:t>управленческих кадров для организаций народного хозяйства по направлению учебно-методического обеспечения, усовершенствование электронной библиотеки в качестве равнодоступной учебно-методической основы образовательного процесса. Внедрение 2 образовательных модулей, позволяющих сформировать у обучающихся базовые управленческие и предпринимательские компетенции, повысить эффективность обучения за счет более гибкого графика учебного процесса (возможности обучения слушателей в удаленном режиме, через Интернет).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4 семинара и 1 конференция с участием не менее 100 человек на каждом мероприятии. Оценка эффективности и качества реализации образовательных </w:t>
            </w:r>
            <w:r>
              <w:rPr>
                <w:rFonts w:ascii="Calibri" w:hAnsi="Calibri" w:cs="Calibri"/>
              </w:rPr>
              <w:lastRenderedPageBreak/>
              <w:t>программ, совершенствование управления образовательными программами, совершенствование деятельности образовательных учреждений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Низкое качество подготовки специалистов по всем типам образовательных программ и проводимых </w:t>
            </w:r>
            <w:r>
              <w:rPr>
                <w:rFonts w:ascii="Calibri" w:hAnsi="Calibri" w:cs="Calibri"/>
              </w:rPr>
              <w:lastRenderedPageBreak/>
              <w:t>стажировок, отсутствие социального и экономического эффекта от реализации Программы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показатели подпрограммы "Количество информационных баз лучших инновационных проектов по реализации </w:t>
            </w:r>
            <w:r>
              <w:rPr>
                <w:rFonts w:ascii="Calibri" w:hAnsi="Calibri" w:cs="Calibri"/>
              </w:rPr>
              <w:lastRenderedPageBreak/>
              <w:t>модернизационных процессов в сфере здравоохранения и образования ("банк проектов") для их последующего тиражирования", "Доля образовательных учреждений, участвующих в реализации Государственного плана подготовки управленческих кадров для организаций народного хозяйства Российской Федерации и внедривших в образовательный процесс современные образовательные технологии, основанные на методах активного обучения"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"Информационно-технологическое обеспечение подпрограммы, создание и ведение баз данных участников реализации подпрограммы, оценка эффективности подпрограммы"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ФБУ "Федеральный ресурсный центр по организации подготовки управленческих кадров"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Усовершенствованная и модернизированная информационная система, предназначенная для работы с анкетами слушателей, региональных комиссий по подготовке управленческих кадров, образовательных учреждений, информационного сопровождения процедур Государственного плана, создание библиотеки тестов, внедрения адаптивного тестирования.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Аналитический отчет хода реализации этапов Государственного плана подготовки управленческих кадров, оценка изменений </w:t>
            </w:r>
            <w:r>
              <w:rPr>
                <w:rFonts w:ascii="Calibri" w:hAnsi="Calibri" w:cs="Calibri"/>
              </w:rPr>
              <w:lastRenderedPageBreak/>
              <w:t>(карьерных и личностных), произошедших благодаря обучению в рамках Государственного плана, оценка изменений, произошедших на предприятиях, прежде всего, экономических результатов, оценка влияния участия в реализации Государственного плана на социально-экономическое положение субъектов РФ</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Невозможность корректировки и постоянного совершенствования обучения по Программе, снижение качества проводимого конкурсного отбора специалистов на обучение по Программе, отсутствие статистического учета реализации Программы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Уменьшение количества образовательных учреждений, внедривших в образовательный процесс современные образовательные технологии, основанные на методах активного обучения.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информации о заключенных специалистами, прошедшими зарубежные стажировки, договоров и контрактов с зарубежными партнерами в течение 3 лет после окончания зарубежных стажировок</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"Управление и нормативное правовое обеспечение подпрограммы"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правовые акты Правительства Российской Федерации и Минэкономразвития России, направленные на дальнейшее совершенствование Государственного плана подготовки управленческих кадров для организаций народного хозяйства и социальной сферы (здравоохранение и образование) Российской Федерации. Выполнение протокольных решений </w:t>
            </w:r>
            <w:r>
              <w:rPr>
                <w:rFonts w:ascii="Calibri" w:hAnsi="Calibri" w:cs="Calibri"/>
              </w:rPr>
              <w:lastRenderedPageBreak/>
              <w:t>Комиссии по организации подготовки управленческих кадров для организаций народного хозяйства и социальной сферы (здравоохранение и образование)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Невозможность реализации мероприятий Программы в очередном финансовом году, дальнейшего развития Программы в соответствии с потребностями и направлениями модернизации экономики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управленческих кадров в сфере здравоохранения и образования"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ФГБОУ ВПО "Российская академия народного хозяйства и государственной службы при Правительстве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Подготовка не менее 4 000 управленцев в сфере здравоохранения и образования. Проведение не менее 200 зарубежных стажировок для управленцев в сфере здравоохранения и образования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Низкая эффективность реализации региональных программ модернизации здравоохранения субъектов Российской Федерации и модернизации региональных систем общего образования, неэффективное использование средств федерального бюджета, предусмотренные на эти цели, необеспечение высокого качества медицинских и образовательных услуг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"Количество управленцев, подготовленных для сферы здравоохранения и образования", "Количество управленцев в сфере здравоохранения и образования, прошедших зарубежные стажировки"</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7" w:name="Par8037"/>
            <w:bookmarkEnd w:id="287"/>
            <w:r>
              <w:rPr>
                <w:rFonts w:ascii="Calibri" w:hAnsi="Calibri" w:cs="Calibri"/>
              </w:rPr>
              <w:t>Подпрограмма "Совершенствование системы государственного стратегического управления"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государственного </w:t>
            </w:r>
            <w:r>
              <w:rPr>
                <w:rFonts w:ascii="Calibri" w:hAnsi="Calibri" w:cs="Calibri"/>
              </w:rPr>
              <w:lastRenderedPageBreak/>
              <w:t>стратегического планирования"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нормативной правовой базы, обеспечивающей реализацию </w:t>
            </w:r>
            <w:r>
              <w:rPr>
                <w:rFonts w:ascii="Calibri" w:hAnsi="Calibri" w:cs="Calibri"/>
              </w:rPr>
              <w:lastRenderedPageBreak/>
              <w:t>федерального закона "О государственном стратегическом планировании" (в течение шести месяцев с момента его принятия в установленном порядке);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утверждение и реализация государственных программ Российской Федерации с учетом приоритетов </w:t>
            </w:r>
            <w:hyperlink r:id="rId295"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до 2020 года, утвержденной распоряжением Правительства Российской Федерации от 8 декабря 2011 г. N 2227-р;</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ориентация деятельности федеральных органов исполнительной власти на достижение </w:t>
            </w:r>
            <w:r>
              <w:rPr>
                <w:rFonts w:ascii="Calibri" w:hAnsi="Calibri" w:cs="Calibri"/>
              </w:rPr>
              <w:lastRenderedPageBreak/>
              <w:t>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федерального бюджета, направленных на реализацию утвержденных государственных программ Российской Федерации за исключением расходов на содержание центральных аппаратов и территориальных органов федеральных органов государственной власти) - не менее 95% расходов федерального бюджета на 2015 год и последующие годы; доля государственных программ, эффективность реализации которых улучшилась в отчетном периоде, в общем количестве государственных </w:t>
            </w:r>
            <w:r>
              <w:rPr>
                <w:rFonts w:ascii="Calibri" w:hAnsi="Calibri" w:cs="Calibri"/>
              </w:rPr>
              <w:lastRenderedPageBreak/>
              <w:t>программ, в реализации которых в ходе мониторинга и оценки были выявлены проблемы, - не менее 80%;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законопроектов, включенных в план законопроектной деятельности Правительства Российской Федерации, подготавливаемых в соответствии с мерами государственного регулирования, предусмотренными государственными программами, в общем количестве законопроектов, включенных в план законопроектной деятельности Правительства Российской Федерации - не менее 75%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Слабая координация стратегического и бюджетного планирования, низкий </w:t>
            </w:r>
            <w:r>
              <w:rPr>
                <w:rFonts w:ascii="Calibri" w:hAnsi="Calibri" w:cs="Calibri"/>
              </w:rPr>
              <w:lastRenderedPageBreak/>
              <w:t>уровень расходов федерального бюджета, сформированных по программному принципу, снижение эффективности использования бюджетных средств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данного основного мероприятия будет способствовать достижению значений </w:t>
            </w:r>
            <w:r>
              <w:rPr>
                <w:rFonts w:ascii="Calibri" w:hAnsi="Calibri" w:cs="Calibri"/>
              </w:rPr>
              <w:lastRenderedPageBreak/>
              <w:t>всех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"Разработка прогнозов социально-экономического развития Российской </w:t>
            </w:r>
            <w:r>
              <w:rPr>
                <w:rFonts w:ascii="Calibri" w:hAnsi="Calibri" w:cs="Calibri"/>
              </w:rPr>
              <w:lastRenderedPageBreak/>
              <w:t>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прогнозов социально-экономического развития Российской Федерации, повышение их обоснованности и достоверности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Подготовка недостоверных прогнозов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механизмов стратегического управления социально-экономическим развитием субъектов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Улучшение состояния территориального планирования;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Улучшение качества инфраструктуры в субъектах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Повышение эффективности реализуемых субъектами Российской Федерации приоритетных инвестиционных проектов;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Минимизация отклонения прогнозных значений показателей социально-экономического развития субъектов Российской Федерации от фактических</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эффективности стратегического управления региональным развитием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"Разработка </w:t>
            </w:r>
            <w:r>
              <w:rPr>
                <w:rFonts w:ascii="Calibri" w:hAnsi="Calibri" w:cs="Calibri"/>
              </w:rPr>
              <w:lastRenderedPageBreak/>
              <w:t>предложений по совершенствованию и участие в реализации государственной политики в отдельных секторах экономики"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в Стратегиях развития и иных отраслевых документах </w:t>
            </w:r>
            <w:r>
              <w:rPr>
                <w:rFonts w:ascii="Calibri" w:hAnsi="Calibri" w:cs="Calibri"/>
              </w:rPr>
              <w:lastRenderedPageBreak/>
              <w:t>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четкой государственной политики в сфере </w:t>
            </w:r>
            <w:r>
              <w:rPr>
                <w:rFonts w:ascii="Calibri" w:hAnsi="Calibri" w:cs="Calibri"/>
              </w:rPr>
              <w:lastRenderedPageBreak/>
              <w:t>развития отдельных секторов экономики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основного мероприятия способствует </w:t>
            </w:r>
            <w:r>
              <w:rPr>
                <w:rFonts w:ascii="Calibri" w:hAnsi="Calibri" w:cs="Calibri"/>
              </w:rPr>
              <w:lastRenderedPageBreak/>
              <w:t>достижению всех показателей подпрограммы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"Разработка предложений по совершенствованию и участие в реализации государственной политики в социальной сфере"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эффективной политики в социальной сфере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госпрограммы</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"Формирование расходов инвестиционного характера, формирование и реализация федеральной адресной инвестиционной </w:t>
            </w:r>
            <w:r>
              <w:rPr>
                <w:rFonts w:ascii="Calibri" w:hAnsi="Calibri" w:cs="Calibri"/>
              </w:rPr>
              <w:lastRenderedPageBreak/>
              <w:t>программы на очередной год и плановый период"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Утвержденная в установленном порядке федеральная адресная инвестиционная программа;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Сформированный информационный ресурс федеральной адресной инвестиционной 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3. Предложения по </w:t>
            </w:r>
            <w:r>
              <w:rPr>
                <w:rFonts w:ascii="Calibri" w:hAnsi="Calibri" w:cs="Calibri"/>
              </w:rPr>
              <w:lastRenderedPageBreak/>
              <w:t>бюджетным проектировкам в части расходов инвестиционного характера;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Отчетные данные о ходе реализации федеральной адресной инвестиционной программы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федеральной адресной инвестиционной программы приведет к невозможности размещения заказов на поставку товаров, выполнение работ и оказание услуг для федеральных государственных нужд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программ, эффективность реализации которых улучшилась в отчетном периоде, в общем количестве государственных программ, в реализации которых в ходе </w:t>
            </w:r>
            <w:r>
              <w:rPr>
                <w:rFonts w:ascii="Calibri" w:hAnsi="Calibri" w:cs="Calibri"/>
              </w:rPr>
              <w:lastRenderedPageBreak/>
              <w:t>мониторинга и оценки были выявлены проблемы (измеряется с 2013 года для принятых государственных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капитального строительства для федеральных государственных нужд, включенных в федеральную адресную инвестиционную программу"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условий для эффективной разработки и реализации федеральных целевых программ и целевых программ ведомств"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"Утвержденные в установленном порядке ФЦП и ВЦП, перечень ФЦП, подлежащих финансированию за счет средств федерального бюджета на очередной год и плановый период, перечень ЦПВ, предлагаемых к </w:t>
            </w:r>
            <w:r>
              <w:rPr>
                <w:rFonts w:ascii="Calibri" w:hAnsi="Calibri" w:cs="Calibri"/>
              </w:rPr>
              <w:lastRenderedPageBreak/>
              <w:t>финансированию (полностью или частично) из бюджета принимаемых обязательств, отчетные данные о ходе реализации ФЦП"</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перечня федеральных целевых программ, подлежащих финансированию за счет средств федерального бюджета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капитального строительства, включенных в федеральную адресную инвестиционную программу, по которым по итогам года не начаты работы, в общем количестве объектов </w:t>
            </w:r>
            <w:r>
              <w:rPr>
                <w:rFonts w:ascii="Calibri" w:hAnsi="Calibri" w:cs="Calibri"/>
              </w:rPr>
              <w:lastRenderedPageBreak/>
              <w:t>капитального строительства для федеральных государственных нужд, включенных в федеральную адресную инвестиционную программу"</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Научно-техническая продукция в сфере стратегического планирования, прогнозирования, экономического развития и инновационной экономики. Научное обеспечение реализации мероприятий подпрограммы и государственной программы в целом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ухудшение качества методологии, используемой в рамках развития стратегического управления, планирования и прогнозирования социально-экономического развития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способствует достижению всех показателей государственной программы</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8" w:name="Par8116"/>
            <w:bookmarkEnd w:id="288"/>
            <w:r>
              <w:rPr>
                <w:rFonts w:ascii="Calibri" w:hAnsi="Calibri" w:cs="Calibri"/>
              </w:rPr>
              <w:t>Подпрограмма "Формирование официальной статистической информации"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Федерального плана статистических работ"</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w:t>
            </w:r>
            <w:r>
              <w:rPr>
                <w:rFonts w:ascii="Calibri" w:hAnsi="Calibri" w:cs="Calibri"/>
              </w:rPr>
              <w:lastRenderedPageBreak/>
              <w:t>600 работ на основе данных не менее 260 федеральных 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Невыполнение полномочий по обеспечению представления в установленном порядке официальной статистической информации о социальных, экономических, демографических, экологических и других </w:t>
            </w:r>
            <w:r>
              <w:rPr>
                <w:rFonts w:ascii="Calibri" w:hAnsi="Calibri" w:cs="Calibri"/>
              </w:rPr>
              <w:lastRenderedPageBreak/>
              <w:t>общественных процессах в Российской Федерации,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следующих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w:t>
            </w:r>
            <w:r>
              <w:rPr>
                <w:rFonts w:ascii="Calibri" w:hAnsi="Calibri" w:cs="Calibri"/>
              </w:rPr>
              <w:lastRenderedPageBreak/>
              <w:t>выполненных в рамках реализации Федерального плана 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отчетности, представляемой респондентами - крупными, средними предприятиями и некоммерческими организациями в электронном виде; Применение международно-признанных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проведение и подведение итогов всероссийских переписей населения (микропереписей)"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Подведение и опубликование итогов Всероссийской переписи населения 2010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Подведение и опубликование итогов федерального статистического наблюдения "Социально-</w:t>
            </w:r>
            <w:r>
              <w:rPr>
                <w:rFonts w:ascii="Calibri" w:hAnsi="Calibri" w:cs="Calibri"/>
              </w:rPr>
              <w:lastRenderedPageBreak/>
              <w:t xml:space="preserve">демографическое обследование (микроперепись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Федерации и ее субъектов. Использование итогов заинтересованными федеральными органами исполнительной власти для анализа выполнения мероприятий, предусмотренных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w:t>
            </w:r>
            <w:r>
              <w:rPr>
                <w:rFonts w:ascii="Calibri" w:hAnsi="Calibri" w:cs="Calibri"/>
              </w:rPr>
              <w:lastRenderedPageBreak/>
              <w:t>официальной текущей статистической отчетности по инвалидности населения.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Проведение Всероссийской переписи населения 2020 года и пробной переписи населения 2018 года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официальной статистической информации для обеспечения принятия и реализации управленческих решений в сфере социально-</w:t>
            </w:r>
            <w:r>
              <w:rPr>
                <w:rFonts w:ascii="Calibri" w:hAnsi="Calibri" w:cs="Calibri"/>
              </w:rPr>
              <w:lastRenderedPageBreak/>
              <w:t>демографической и экономической политики на всех уровнях государственной и муниципальной власти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1. государственной программы - Уровень доступности официальной статистической </w:t>
            </w:r>
            <w:r>
              <w:rPr>
                <w:rFonts w:ascii="Calibri" w:hAnsi="Calibri" w:cs="Calibri"/>
              </w:rPr>
              <w:lastRenderedPageBreak/>
              <w:t>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подпрограммы - Количество работ, выполненных в рамках реализации Федерального плана 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проведение и подведение итогов Всероссийских сельскохозяйственных переписей"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Разработка программного обеспечения обработки данных Всероссийской сельскохозяйственной переписи 2016 г., тиражирование инструментария переписи, порядка организации информационно-разъяснительной работы, изготовление картографического </w:t>
            </w:r>
            <w:r>
              <w:rPr>
                <w:rFonts w:ascii="Calibri" w:hAnsi="Calibri" w:cs="Calibri"/>
              </w:rPr>
              <w:lastRenderedPageBreak/>
              <w:t>материала и т.д.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Проведение Всероссийской сельскохозяйственной переписи 2016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Подведение итогов Всероссийской сельскохозяйственной переписи 2016 года и их официальное опубликование.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Разработка методологии проведения выборочных обследований на основе материалов Всероссийской сельскохозяйственной переписи 2016 года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детальной статистической информации, необходимой для информационного обеспечения принятия управленческих решений в сфере агропромышленного комплекса, развития сельских территорий страны, оценки продовольственной безопасности страны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достижения следующих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подпрограммы - Количество работ, выполненных в рамках реализации Федерального плана 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w:t>
            </w:r>
            <w:r>
              <w:rPr>
                <w:rFonts w:ascii="Calibri" w:hAnsi="Calibri" w:cs="Calibri"/>
              </w:rPr>
              <w:lastRenderedPageBreak/>
              <w:t>обследуемых в межпереписной период с применением выборочного метода;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характеризующих состояние сельского хозяйства в разрезе муниципальных образований (сельские и городские поселения)</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w:t>
            </w:r>
            <w:r>
              <w:rPr>
                <w:rFonts w:ascii="Calibri" w:hAnsi="Calibri" w:cs="Calibri"/>
              </w:rPr>
              <w:lastRenderedPageBreak/>
              <w:t>предпринимательства"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Формирование показателей, включенных в мониторинг для эффективности оценки деятельности субъектов бюджетного планирования.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Создание необходимого информационного массива для реализации положений Федерального закона от 24 июля 2007 г. N 209-ФЗ "О развитии малого и </w:t>
            </w:r>
            <w:r>
              <w:rPr>
                <w:rFonts w:ascii="Calibri" w:hAnsi="Calibri" w:cs="Calibri"/>
              </w:rPr>
              <w:lastRenderedPageBreak/>
              <w:t xml:space="preserve">среднего предпринимательства в Российской Федерации" (статья 4, </w:t>
            </w:r>
            <w:hyperlink r:id="rId296" w:history="1">
              <w:r>
                <w:rPr>
                  <w:rFonts w:ascii="Calibri" w:hAnsi="Calibri" w:cs="Calibri"/>
                  <w:color w:val="0000FF"/>
                </w:rPr>
                <w:t>пункт 2</w:t>
              </w:r>
            </w:hyperlink>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Разработка базовых таблиц "затраты-выпуск" за 2011 и 2016 гг.</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надежного инструмента для социально-экономического прогнозирования и выработки мер по повышению эффективности функционирования российской экономики в целом и ее отдельных секторов, эффективности оценки деятельности субъектов бюджетного </w:t>
            </w:r>
            <w:r>
              <w:rPr>
                <w:rFonts w:ascii="Calibri" w:hAnsi="Calibri" w:cs="Calibri"/>
              </w:rPr>
              <w:lastRenderedPageBreak/>
              <w:t>планирования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Федерального плана </w:t>
            </w:r>
            <w:r>
              <w:rPr>
                <w:rFonts w:ascii="Calibri" w:hAnsi="Calibri" w:cs="Calibri"/>
              </w:rPr>
              <w:lastRenderedPageBreak/>
              <w:t>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показателей базовых таблиц "затраты-выпуск" за 2011 и 2016 гг., включая коэффициенты прямых и полных затрат;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Статистическое расхождение между произведенным и использованным ВВП</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Обеспечение полного набора индикаторов, формируемых по итогам выборочных наблюдений домашних хозяйств </w:t>
            </w:r>
            <w:r>
              <w:rPr>
                <w:rFonts w:ascii="Calibri" w:hAnsi="Calibri" w:cs="Calibri"/>
              </w:rPr>
              <w:lastRenderedPageBreak/>
              <w:t>(населения) по социально-демографическим проблемам и характеризующих достижение целей развития, провозглашенных в Декларации тысячелетия ООН (24 индикатора или 100 процентов).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решается задача информационного обеспечения реализации Концепции демографической политики, соответствующей информационным потребностям и международным рекомендациям в области демографического развития. В результате ограничены возможности определения результативности принимаемых мер и выявления проблемных точек на уровне локальных групп населения, которым </w:t>
            </w:r>
            <w:r>
              <w:rPr>
                <w:rFonts w:ascii="Calibri" w:hAnsi="Calibri" w:cs="Calibri"/>
              </w:rPr>
              <w:lastRenderedPageBreak/>
              <w:t>предназначены целевые мероприятия Концепции. Невозможность полноценного мониторинга выполнения Россией международных обязательств в социальной сфере</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Федерального плана статистических работ; Количество индикаторов хода реализации Концепции демографической политики и приоритетных национальных проектов, </w:t>
            </w:r>
            <w:r>
              <w:rPr>
                <w:rFonts w:ascii="Calibri" w:hAnsi="Calibri" w:cs="Calibri"/>
              </w:rPr>
              <w:lastRenderedPageBreak/>
              <w:t>формируемых по итогам выборочных наблюдений домашних хозяйств (населения) по социально-демографическим проблемам в % к 2012 г.</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выборочных обследований отдельных аспектов занятости населения и оплаты труда"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1. 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организации труда по Российской Федерации и субъектам Российской </w:t>
            </w:r>
            <w:r>
              <w:rPr>
                <w:rFonts w:ascii="Calibri" w:hAnsi="Calibri" w:cs="Calibri"/>
              </w:rPr>
              <w:lastRenderedPageBreak/>
              <w:t>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сети интернет</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информации об основных показателях рынка труда (об уровне занятости и уровне безработицы) в России и субъектах Российской Федерации; о средней заработной плате отдельных (целевых) категорий работников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достижения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2. подпрограммы - Количество работ, выполненных в рамках реализации Федерального плана статистических работ; </w:t>
            </w:r>
            <w:r>
              <w:rPr>
                <w:rFonts w:ascii="Calibri" w:hAnsi="Calibri" w:cs="Calibri"/>
              </w:rPr>
              <w:lastRenderedPageBreak/>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показателей экономической активности, занятости, безработицы, необходимых для предоставления в ОЭСР</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"Информатизация сбора, обработки и распространения официальной статистической информации"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ИВС Росстата в штатном </w:t>
            </w:r>
            <w:r>
              <w:rPr>
                <w:rFonts w:ascii="Calibri" w:hAnsi="Calibri" w:cs="Calibri"/>
              </w:rPr>
              <w:lastRenderedPageBreak/>
              <w:t>режиме и использование новейших информационных систем, обеспечивающих потребности Росстата в средствах обработки информации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качества и нарушение сроков </w:t>
            </w:r>
            <w:r>
              <w:rPr>
                <w:rFonts w:ascii="Calibri" w:hAnsi="Calibri" w:cs="Calibri"/>
              </w:rPr>
              <w:lastRenderedPageBreak/>
              <w:t>выполнения Федерального плана статистических работ и предоставления Росстатом официальной статистической информации для органов государственной власти, международных организаций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достижения следующих </w:t>
            </w:r>
            <w:r>
              <w:rPr>
                <w:rFonts w:ascii="Calibri" w:hAnsi="Calibri" w:cs="Calibri"/>
              </w:rPr>
              <w:lastRenderedPageBreak/>
              <w:t>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подпрограммы - Доля обновляемых программно-технических средств автоматизации ИВС Росстата в связи с их физическим и моральным износом; 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проекта МБРР "Развитие системы государственной статистики"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w:t>
            </w:r>
            <w:r>
              <w:rPr>
                <w:rFonts w:ascii="Calibri" w:hAnsi="Calibri" w:cs="Calibri"/>
              </w:rPr>
              <w:lastRenderedPageBreak/>
              <w:t>России, необходимых государственным органам, деловым кругам и обществу для принятия обоснованных решений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системы государственной статистики Российской Федерации международным стандартам в области методологии и технологии сбора, формирования и </w:t>
            </w:r>
            <w:r>
              <w:rPr>
                <w:rFonts w:ascii="Calibri" w:hAnsi="Calibri" w:cs="Calibri"/>
              </w:rPr>
              <w:lastRenderedPageBreak/>
              <w:t>распространения статистических данных</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достижения целевых индикаторов и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государственной программы - "Уровень доступности официальной статистической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2. Подпрограммы - "Применение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ОЭСР)"</w:t>
            </w:r>
          </w:p>
        </w:tc>
      </w:tr>
      <w:tr w:rsidR="00C65754" w:rsidTr="008C77ED">
        <w:tblPrEx>
          <w:tblCellMar>
            <w:top w:w="0" w:type="dxa"/>
            <w:bottom w:w="0" w:type="dxa"/>
          </w:tblCellMar>
        </w:tblPrEx>
        <w:trPr>
          <w:tblCellSpacing w:w="5" w:type="nil"/>
        </w:trPr>
        <w:tc>
          <w:tcPr>
            <w:tcW w:w="0" w:type="auto"/>
            <w:gridSpan w:val="8"/>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89" w:name="Par8216"/>
            <w:bookmarkEnd w:id="289"/>
            <w:r>
              <w:rPr>
                <w:rFonts w:ascii="Calibri" w:hAnsi="Calibri" w:cs="Calibri"/>
              </w:rPr>
              <w:lastRenderedPageBreak/>
              <w:t>Подпрограмма "Создание и развитие инновационного центра "Сколково"</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 инновационной среды"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Возрастет количество заявок на государственную регистрацию объектов интеллектуальной собственности, поданных компаниями - участниками проекта </w:t>
            </w:r>
            <w:r>
              <w:rPr>
                <w:rFonts w:ascii="Calibri" w:hAnsi="Calibri" w:cs="Calibri"/>
              </w:rPr>
              <w:lastRenderedPageBreak/>
              <w:t>"Сколково", со 159 заявок в 2012 году до 350 заявок к 2020 году (накопленным итогом к 2020 году их количество составит более 2000 заявок).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Такой уровень активности соответствует показателю ведущих инновационных центров. Увеличение выручки компаний-участников проекта "Сколково", полученной от результатов исследовательской деятельности, с 1,2 млрд. руб. в 2012 году до 100 млрд. руб. в 2020 году (накопленным итогом)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 сроки коммерциализации проектов участников проекта "Сколково" к 2020 году сократятся на 20% относительно текущих значений.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Объем внешнего финансирования, привлеченного для реализации проектов участников проекта "Сколково" и Сколтех за период с 2013 по 2020 </w:t>
            </w:r>
            <w:r>
              <w:rPr>
                <w:rFonts w:ascii="Calibri" w:hAnsi="Calibri" w:cs="Calibri"/>
              </w:rPr>
              <w:lastRenderedPageBreak/>
              <w:t>год составит более 200 млрд. руб. (накопленным итогом), что более чем в 2 раза превышает аналогичный показатель ведущих инновационных центров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Отток талантливой молодежи, снижение инновационной активности, снижение количества малых и средних мероприятий, занимающихся инновационной деятельностью</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Число заявок на регистрацию объектов интеллектуальной собственности, созданных в инновационном центре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Количество патентов, полученных на территории иностранных государств, включая США, Европу, Японию.</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3. Объем частных инвестиций, привлеченных в инновационную экосистему "Сколково", включая инвестиции в проекты компаний-участников и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Выручка компаний - участников проекта "Сколково", полученная от результатов исследовательской деятельности (накопленным итогом);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Сокращение средних сроков коммерциализации проектов участников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Интегральный вклад проекта "Сколково" в экономику Российской Федерации</w:t>
            </w:r>
          </w:p>
        </w:tc>
      </w:tr>
      <w:tr w:rsidR="00C65754" w:rsidTr="008C77ED">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развитие Сколковского института науки и технологий"</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2020 году Сколтех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слушателей PhD программ. Количество выпускников составит не менее 1000 человек.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Последствия нереализации основного мероприятия связаны со снижением исследовательской продуктивности фундаментальной и прикладной отечественной науки, отставанием России в этой сфере от зарубежных стран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Число публикаций в журналах, индексируемых в "Сеть науки" (на 1 исследователя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Доля выпускников Сколтеха, вовлеченных в инновационную деятельность;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Интегральный вклад проекта "Сколково" в экономику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Число заявок на регистрацию объектов интеллектуальной собственности, созданных в инновационном центре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5. Количество патентов, полученных на </w:t>
            </w:r>
            <w:r>
              <w:rPr>
                <w:rFonts w:ascii="Calibri" w:hAnsi="Calibri" w:cs="Calibri"/>
              </w:rPr>
              <w:lastRenderedPageBreak/>
              <w:t>территории иностранных государств, включая США, Европу, Японию.</w:t>
            </w:r>
          </w:p>
        </w:tc>
      </w:tr>
      <w:tr w:rsidR="00C65754" w:rsidTr="008C77ED">
        <w:tblPrEx>
          <w:tblCellMar>
            <w:top w:w="0" w:type="dxa"/>
            <w:bottom w:w="0" w:type="dxa"/>
          </w:tblCellMar>
        </w:tblPrEx>
        <w:trPr>
          <w:tblCellSpacing w:w="5" w:type="nil"/>
        </w:trPr>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управление физической инфраструктурой инновационного центра "Сколково"</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развития Центра разработки и коммерциализации новых технологий (Фонд "Сколково")</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 из них построенных за счет средств федерального бюджета - 403 тыс. кв. м</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невозможность размещения на территории центра инновационных компаний, снижение привлекательности центра для российских и международных индустриальных и финансовых компаний</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повлияет на выполнение следующих показателей подпрограммы: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Коэффициент пригодности инновационного центра для жизни и работы (коэффициент счастья)</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140C12" w:rsidRDefault="00140C12">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290" w:name="Par8263"/>
      <w:bookmarkEnd w:id="290"/>
      <w:r>
        <w:rPr>
          <w:rFonts w:ascii="Calibri" w:hAnsi="Calibri" w:cs="Calibri"/>
        </w:rPr>
        <w:lastRenderedPageBreak/>
        <w:t>Приложение N 3</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291" w:name="Par8265"/>
      <w:bookmarkEnd w:id="291"/>
      <w:r>
        <w:rPr>
          <w:rFonts w:ascii="Calibri" w:hAnsi="Calibri" w:cs="Calibri"/>
        </w:rPr>
        <w:t>ОЦЕНКА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МЕР ГОСУДАРСТВЕННОГО РЕГУЛИРОВАНИЯ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41"/>
        <w:gridCol w:w="1894"/>
        <w:gridCol w:w="1638"/>
        <w:gridCol w:w="980"/>
        <w:gridCol w:w="980"/>
        <w:gridCol w:w="980"/>
        <w:gridCol w:w="1030"/>
        <w:gridCol w:w="1030"/>
        <w:gridCol w:w="1030"/>
        <w:gridCol w:w="1030"/>
        <w:gridCol w:w="1237"/>
        <w:gridCol w:w="2375"/>
      </w:tblGrid>
      <w:tr w:rsidR="00C65754" w:rsidTr="00140C12">
        <w:tblPrEx>
          <w:tblCellMar>
            <w:top w:w="0" w:type="dxa"/>
            <w:bottom w:w="0" w:type="dxa"/>
          </w:tblCellMar>
        </w:tblPrEx>
        <w:trPr>
          <w:tblCellSpacing w:w="5" w:type="nil"/>
        </w:trPr>
        <w:tc>
          <w:tcPr>
            <w:tcW w:w="0" w:type="auto"/>
            <w:vMerge w:val="restart"/>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w:t>
            </w:r>
          </w:p>
        </w:tc>
        <w:tc>
          <w:tcPr>
            <w:tcW w:w="0" w:type="auto"/>
            <w:vMerge w:val="restart"/>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применения меры</w:t>
            </w:r>
          </w:p>
        </w:tc>
        <w:tc>
          <w:tcPr>
            <w:tcW w:w="0" w:type="auto"/>
            <w:gridSpan w:val="8"/>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оценка результата (тыс. рублей), годы</w:t>
            </w:r>
          </w:p>
        </w:tc>
        <w:tc>
          <w:tcPr>
            <w:tcW w:w="0" w:type="auto"/>
            <w:vMerge w:val="restart"/>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для достижения цели государственной программы</w:t>
            </w:r>
          </w:p>
        </w:tc>
      </w:tr>
      <w:tr w:rsidR="00C65754" w:rsidTr="00140C12">
        <w:tblPrEx>
          <w:tblCellMar>
            <w:top w:w="0" w:type="dxa"/>
            <w:bottom w:w="0" w:type="dxa"/>
          </w:tblCellMar>
        </w:tblPrEx>
        <w:trPr>
          <w:tblCellSpacing w:w="5" w:type="nil"/>
        </w:trPr>
        <w:tc>
          <w:tcPr>
            <w:tcW w:w="0" w:type="auto"/>
            <w:vMerge/>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0" w:type="auto"/>
            <w:vMerge/>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r>
      <w:tr w:rsidR="00C65754" w:rsidTr="00140C12">
        <w:tblPrEx>
          <w:tblCellMar>
            <w:top w:w="0" w:type="dxa"/>
            <w:bottom w:w="0" w:type="dxa"/>
          </w:tblCellMar>
        </w:tblPrEx>
        <w:trPr>
          <w:tblCellSpacing w:w="5" w:type="nil"/>
        </w:trPr>
        <w:tc>
          <w:tcPr>
            <w:tcW w:w="0" w:type="auto"/>
            <w:gridSpan w:val="12"/>
            <w:tcBorders>
              <w:top w:val="single" w:sz="4" w:space="0" w:color="auto"/>
            </w:tcBorders>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92" w:name="Par8282"/>
            <w:bookmarkEnd w:id="292"/>
            <w:r>
              <w:rPr>
                <w:rFonts w:ascii="Calibri" w:hAnsi="Calibri" w:cs="Calibri"/>
              </w:rPr>
              <w:t>Подпрограмма "Формирование благоприятной инвестиционной среды"</w:t>
            </w:r>
          </w:p>
        </w:tc>
      </w:tr>
      <w:tr w:rsidR="00C65754" w:rsidTr="00140C12">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93" w:name="Par8283"/>
            <w:bookmarkEnd w:id="293"/>
            <w:r>
              <w:rPr>
                <w:rFonts w:ascii="Calibri" w:hAnsi="Calibri" w:cs="Calibri"/>
              </w:rPr>
              <w:t>Основное мероприятие "Развитие особых экономических зон"</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доходы бюджетов бюджетной системы от налоговых поступлений резидентов ОЭЗ всех типов &lt;*&gt;</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доходы бюджетов бюджетной системы Российской Федерации,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10800000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15400000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24600000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29200000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33800000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38400000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43000000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благоприятной инвестиционной среды</w:t>
            </w:r>
          </w:p>
        </w:tc>
      </w:tr>
      <w:tr w:rsidR="00C65754" w:rsidTr="00140C12">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94" w:name="Par8296"/>
            <w:bookmarkEnd w:id="294"/>
            <w:r>
              <w:rPr>
                <w:rFonts w:ascii="Calibri" w:hAnsi="Calibri" w:cs="Calibri"/>
              </w:rPr>
              <w:t>Подпрограмма "Стимулирование инноваций"</w:t>
            </w:r>
          </w:p>
        </w:tc>
      </w:tr>
      <w:tr w:rsidR="00C65754" w:rsidTr="00140C12">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95" w:name="Par8297"/>
            <w:bookmarkEnd w:id="295"/>
            <w:r>
              <w:rPr>
                <w:rFonts w:ascii="Calibri" w:hAnsi="Calibri" w:cs="Calibri"/>
              </w:rPr>
              <w:t>Основное мероприятие "Создание и развитие институтов и инфраструктур, обеспечивающих запуск и работу "инновационного лифта"</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Исключение из налогооблагаемой базы по налогу на прибыль средств, полученных из Фонда содействия развитию малых форм предприятий в </w:t>
            </w:r>
            <w:r>
              <w:rPr>
                <w:rFonts w:ascii="Calibri" w:hAnsi="Calibri" w:cs="Calibri"/>
              </w:rPr>
              <w:lastRenderedPageBreak/>
              <w:t>научно-технической сфере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выпадающие доходы бюджетов бюджетной системы по налогу на прибыль,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256197,7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256197,7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256197,7</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Достижение целей государственной программы в сфере стимулирования разработки и внедрения инноваций, развития малого и среднего предпринимательства</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федерального бюджета субсидий на возмещение затрат по уплате ввозной таможенной пошлины и налога на добавленную стоимость, понесенных лицами, участвующими в реализации проекта создания и обеспечения функционирования инновационного центра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выпадающие доходы бюджетов бюджетной системы по налогу на прибыль,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1240000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4850000</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Достижение целей государственной программы в сфере стимулирования разработки и внедрения инноваций, развития малого и среднего предпринимательства</w:t>
            </w:r>
          </w:p>
        </w:tc>
      </w:tr>
      <w:tr w:rsidR="00C65754" w:rsidTr="00140C12">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296" w:name="Par8322"/>
            <w:bookmarkEnd w:id="296"/>
            <w:r>
              <w:rPr>
                <w:rFonts w:ascii="Calibri" w:hAnsi="Calibri" w:cs="Calibri"/>
              </w:rPr>
              <w:t>Мероприятие "Проведение исследований в целях инновационного развития экономики"</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Распространение на инновационные территории с высоким научно-техническим потенциалом льгот, предусмотренных </w:t>
            </w:r>
            <w:r>
              <w:rPr>
                <w:rFonts w:ascii="Calibri" w:hAnsi="Calibri" w:cs="Calibri"/>
              </w:rPr>
              <w:lastRenderedPageBreak/>
              <w:t>для участников проекта "Сколково", по обязательным страховым взносам в федеральные внебюджетные фонды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выпадающие доходы бюджетов бюджетной системы и внебюджетных фондов,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Достижение целей государственной программы, нацеленных на развитие территорий с высоким научно-техническим потенциалом</w:t>
            </w:r>
          </w:p>
        </w:tc>
      </w:tr>
      <w:tr w:rsidR="00C65754" w:rsidTr="00140C12">
        <w:tblPrEx>
          <w:tblCellMar>
            <w:top w:w="0" w:type="dxa"/>
            <w:bottom w:w="0" w:type="dxa"/>
          </w:tblCellMar>
        </w:tblPrEx>
        <w:trPr>
          <w:tblCellSpacing w:w="5" w:type="nil"/>
        </w:trPr>
        <w:tc>
          <w:tcPr>
            <w:tcW w:w="0" w:type="auto"/>
            <w:gridSpan w:val="12"/>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297" w:name="Par8335"/>
            <w:bookmarkEnd w:id="297"/>
            <w:r>
              <w:rPr>
                <w:rFonts w:ascii="Calibri" w:hAnsi="Calibri" w:cs="Calibri"/>
              </w:rPr>
              <w:lastRenderedPageBreak/>
              <w:t>Подпрограмма "Создание и развитие инновационного центра "Сколково"</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Исключение из налогооблагаемой базы по налогу на прибыль прибыли организаций, освобожденных от исполнения обязанностей налогоплательщика - получивших статус участника проекта по осуществлению исследований, разработок и коммерциализации их результатов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выпадающие доходы бюджетов бюджетной системы по налогу на прибыль,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разработки и внедрения инноваций, и развития инновационной самоподдерживающейся среды</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платежей по НДС от организаций, освобожденных от исполнения обязанностей </w:t>
            </w:r>
            <w:r>
              <w:rPr>
                <w:rFonts w:ascii="Calibri" w:hAnsi="Calibri" w:cs="Calibri"/>
              </w:rPr>
              <w:lastRenderedPageBreak/>
              <w:t>налогоплательщика - получивших статус участника проекта по осуществлению исследований, разработок и коммерциализации их результатов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выпадающие доходы бюджетов бюджетной системы по НДС, тыс. </w:t>
            </w:r>
            <w:r>
              <w:rPr>
                <w:rFonts w:ascii="Calibri" w:hAnsi="Calibri" w:cs="Calibri"/>
              </w:rPr>
              <w:lastRenderedPageBreak/>
              <w:t>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108000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324000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334800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151200</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108000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разработки и внедрения инноваций, и развития инновационной самоподдерживающей</w:t>
            </w:r>
            <w:r>
              <w:rPr>
                <w:rFonts w:ascii="Calibri" w:hAnsi="Calibri" w:cs="Calibri"/>
              </w:rPr>
              <w:lastRenderedPageBreak/>
              <w:t>ся среды</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Исключение из налогооблагаемой базы по налогу на имущество организаций, освобожденных от исполнения обязанностей налогоплательщика - получивших статус участника проекта по осуществлению исследований, разработок и коммерциализации их результатов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выпадающие доходы бюджетов бюджетной системы по налогу на имущество,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577526,7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739873,8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991604,2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1091279,7</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1071595,6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1047926,6</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1024743,1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1002184,626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разработки и внедрения инноваций, и развития инновационной самоподдерживающейся среды</w:t>
            </w:r>
          </w:p>
        </w:tc>
      </w:tr>
      <w:tr w:rsidR="00C65754" w:rsidTr="00140C12">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платежей по страховым взносам от организаций, получивших статус участника проекта по </w:t>
            </w:r>
            <w:r>
              <w:rPr>
                <w:rFonts w:ascii="Calibri" w:hAnsi="Calibri" w:cs="Calibri"/>
              </w:rPr>
              <w:lastRenderedPageBreak/>
              <w:t>осуществлению исследований, разработок и коммерциализации их результатов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выпадающие платежи по страховым взносам, тыс. рублей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15401,3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23504,3</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134884,5</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291702,2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310679,8</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341331,2</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366192,1</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395513,4614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разработки и внедрения инноваций, и развития инновационной самоподдерживающейся среды</w:t>
            </w:r>
          </w:p>
        </w:tc>
      </w:tr>
      <w:tr w:rsidR="00C65754" w:rsidTr="00140C12">
        <w:tblPrEx>
          <w:tblCellMar>
            <w:top w:w="0" w:type="dxa"/>
            <w:bottom w:w="0" w:type="dxa"/>
          </w:tblCellMar>
        </w:tblPrEx>
        <w:trPr>
          <w:tblCellSpacing w:w="5" w:type="nil"/>
        </w:trPr>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Возмещение таможенных платежей (таможенной пошлины и НДС) в отношении товаров, ввозимых для целей их использования при строительстве, оборудовании и техническом оснащении объектов недвижимости в инновационном центре "Сколково" или необходимых участникам проекта для осуществления исследовательской деятельности</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возмещение таможенных платежей, тыс. рублей</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1240000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2412000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2216000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957139,7</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1230939,9</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разработки и внедрения инноваций, и развития инновационной самоподдерживающейся среды</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298" w:name="Par8401"/>
      <w:bookmarkEnd w:id="298"/>
      <w:r>
        <w:rPr>
          <w:rFonts w:ascii="Calibri" w:hAnsi="Calibri" w:cs="Calibri"/>
        </w:rPr>
        <w:lastRenderedPageBreak/>
        <w:t>Приложение N 4</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299" w:name="Par8403"/>
      <w:bookmarkEnd w:id="299"/>
      <w:r>
        <w:rPr>
          <w:rFonts w:ascii="Calibri" w:hAnsi="Calibri" w:cs="Calibri"/>
        </w:rPr>
        <w:t>СВЕДЕНИЯ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CellMar>
          <w:left w:w="75" w:type="dxa"/>
          <w:right w:w="75" w:type="dxa"/>
        </w:tblCellMar>
        <w:tblLook w:val="0000" w:firstRow="0" w:lastRow="0" w:firstColumn="0" w:lastColumn="0" w:noHBand="0" w:noVBand="0"/>
      </w:tblPr>
      <w:tblGrid>
        <w:gridCol w:w="487"/>
        <w:gridCol w:w="3199"/>
        <w:gridCol w:w="6004"/>
        <w:gridCol w:w="2715"/>
        <w:gridCol w:w="2240"/>
      </w:tblGrid>
      <w:tr w:rsidR="00C65754" w:rsidTr="00F9399E">
        <w:tblPrEx>
          <w:tblCellMar>
            <w:top w:w="0" w:type="dxa"/>
            <w:bottom w:w="0" w:type="dxa"/>
          </w:tblCellMar>
        </w:tblPrEx>
        <w:trPr>
          <w:tblCellSpacing w:w="5" w:type="nil"/>
        </w:trPr>
        <w:tc>
          <w:tcPr>
            <w:tcW w:w="0" w:type="auto"/>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и соисполнители</w:t>
            </w:r>
          </w:p>
        </w:tc>
        <w:tc>
          <w:tcPr>
            <w:tcW w:w="0" w:type="auto"/>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сроки принятия</w:t>
            </w:r>
          </w:p>
        </w:tc>
      </w:tr>
      <w:tr w:rsidR="00C65754" w:rsidTr="00F9399E">
        <w:tblPrEx>
          <w:tblCellMar>
            <w:top w:w="0" w:type="dxa"/>
            <w:bottom w:w="0" w:type="dxa"/>
          </w:tblCellMar>
        </w:tblPrEx>
        <w:trPr>
          <w:tblCellSpacing w:w="5" w:type="nil"/>
        </w:trPr>
        <w:tc>
          <w:tcPr>
            <w:tcW w:w="0" w:type="auto"/>
            <w:gridSpan w:val="5"/>
            <w:tcBorders>
              <w:top w:val="single" w:sz="4" w:space="0" w:color="auto"/>
            </w:tcBorders>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00" w:name="Par8412"/>
            <w:bookmarkEnd w:id="300"/>
            <w:r>
              <w:rPr>
                <w:rFonts w:ascii="Calibri" w:hAnsi="Calibri" w:cs="Calibri"/>
              </w:rPr>
              <w:t>Подпрограмма "Формирование благоприятной инвестиционной среды"</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1" w:name="Par8413"/>
            <w:bookmarkEnd w:id="301"/>
            <w:r>
              <w:rPr>
                <w:rFonts w:ascii="Calibri" w:hAnsi="Calibri" w:cs="Calibri"/>
              </w:rPr>
              <w:t>Основное мероприятие "Создание благоприятных условий для привлечения инвестиций в экономику Российской Федерации"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направленных на упрощение строительных процедур при реализации инвестиционных проектов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Оценка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 ведомственные приказы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направленных на совершенствование таможенного администрирования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и экспертиза нормативных правовых актов в области законодательства Российской Федерации о налогах и сборах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налоговых условий для роста инвестиций в основные фонды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заинтересованные федеральные органы </w:t>
            </w:r>
            <w:r>
              <w:rPr>
                <w:rFonts w:ascii="Calibri" w:hAnsi="Calibri" w:cs="Calibri"/>
              </w:rPr>
              <w:lastRenderedPageBreak/>
              <w:t>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Сближение бухгалтерского и налогового учета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Введение на территории Российской Федерации налога на недвижимость</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Минюст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направленный, в том числе на снятие существующих ограничений и расширяющий возможные формы реализации проектов на принципах государственно-частного партнерства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возможности применения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доходов бюджетной системы Российской Федерации, полученных вследствие развития такой территории, в рамках Инвестиционного фонда Российской Федерации с использованием механизма "Tax Increment Financing" (TIF)</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Минобрнауки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Минспорт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2" w:name="Par8479"/>
            <w:bookmarkEnd w:id="302"/>
            <w:r>
              <w:rPr>
                <w:rFonts w:ascii="Calibri" w:hAnsi="Calibri" w:cs="Calibri"/>
              </w:rPr>
              <w:t>Основное мероприятие "Совершенствование корпоративного управления"</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приказ Минэкономразвития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 в том числе в части проведения экспертизы отчетов об оценке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Расширение практики представления нефинансовых отчетов, а также совершенствование системы внутреннего аудита в публичных компаниях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Расширение практики применения международных стандартов нефинансовой отчетности публичных компаний, международных стандартов оценочной деятельности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Упрощение процедуры государственной регистрации юридических лиц и постановки на учет в государственных внебюджетных фондах за счет более широкого использования электронных технологий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ПФР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ФОМС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Либерализация регулирования корпоративных отношений в непубличных обществах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структуры и организации органов управления компании, совершенствования механизмов ответственности членов органов управления и "теневых директоров" хозяйственных обществ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электронных механизмов обмена информацией между акционерным обществом и акционерами при проведении корпоративных процедур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применения реабилитационных процедур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процедур банкротства отдельных категорий должников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 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гарантий защиты прав социальной категории кредиторов</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2013 - 2017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правовых и организационных условий для функционирования Единого федерального реестра сведений о банкротстве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ФНС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реализации имущества в ходе принудительного взыскания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ФСФР России при участии Банка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3" w:name="Par8567"/>
            <w:bookmarkEnd w:id="303"/>
            <w:r>
              <w:rPr>
                <w:rFonts w:ascii="Calibri" w:hAnsi="Calibri" w:cs="Calibri"/>
              </w:rPr>
              <w:t>Основное мероприятие "Повышение качества оценки регулирующего воздействия проектов нормативных правовых актов"</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Расширение предметной области оценки регулирующего воздействия и перенесение процедуры проведения оценки регулирующего воздействия со стадии согласования проекта акта на стадию разработки концепции проекта акта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государственной власти субъектов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Законодательное закрепление процедуры оценки регулирующего воздействия, а также экспертизы действующих нормативных правовых актов в отношении </w:t>
            </w:r>
            <w:r>
              <w:rPr>
                <w:rFonts w:ascii="Calibri" w:hAnsi="Calibri" w:cs="Calibri"/>
              </w:rPr>
              <w:lastRenderedPageBreak/>
              <w:t>органов местного самоуправления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4" w:name="Par8583"/>
            <w:bookmarkEnd w:id="304"/>
            <w:r>
              <w:rPr>
                <w:rFonts w:ascii="Calibri" w:hAnsi="Calibri" w:cs="Calibri"/>
              </w:rPr>
              <w:lastRenderedPageBreak/>
              <w:t>Основное мероприятие "Развитие особых экономических зон"</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законы, Постановления Правительства Российской Федерации, Приказы Минэкономразвития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Российской Федерации в части особых экономических зон, формирование нормативной правовой базы, регламентирующей развитие и функционирование ОЭЗ</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Проекты решений Комиссии Таможенного Союза</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нормативной правовой базы Таможенного союза в части регулирующей порядок применения таможенной процедуры свободной таможенной зоны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Приказы ФТС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Российской Федерации в части регулирующей применение таможенной процедуры свободной таможенной зоны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ФТС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2013 - 2015 годы</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5" w:name="Par8600"/>
            <w:bookmarkEnd w:id="305"/>
            <w:r>
              <w:rPr>
                <w:rFonts w:ascii="Calibri" w:hAnsi="Calibri" w:cs="Calibri"/>
              </w:rPr>
              <w:t>Основное мероприятие "Создание благоприятной конкурентной среды"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Расширение перечня торгов в отношении государственного и муниципального имущества и ограниченных ресурсов, информация о проведении которых должна размещаться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Минкомсвязь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2014 г.</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6" w:name="Par8608"/>
            <w:bookmarkEnd w:id="306"/>
            <w:r>
              <w:rPr>
                <w:rFonts w:ascii="Calibri" w:hAnsi="Calibri" w:cs="Calibri"/>
              </w:rPr>
              <w:t>Основное мероприятие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Предлагаемым федеральным законом предусмотрено внесение изменений в Федеральный </w:t>
            </w:r>
            <w:hyperlink r:id="rId297" w:history="1">
              <w:r>
                <w:rPr>
                  <w:rFonts w:ascii="Calibri" w:hAnsi="Calibri" w:cs="Calibri"/>
                  <w:color w:val="0000FF"/>
                </w:rPr>
                <w:t>закон</w:t>
              </w:r>
            </w:hyperlink>
            <w:r>
              <w:rPr>
                <w:rFonts w:ascii="Calibri" w:hAnsi="Calibri" w:cs="Calibri"/>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Законопроект направлен на совершенствование процедур контроля осуществления иностранных инвестиций в хозяйственные общества, имеющие стратегическое значение, в том числе, упрощение порядка осуществления иностранных инвестиций в сфере пользования участками недр федерального значения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7" w:name="Par8615"/>
            <w:bookmarkEnd w:id="307"/>
            <w:r>
              <w:rPr>
                <w:rFonts w:ascii="Calibri" w:hAnsi="Calibri" w:cs="Calibri"/>
              </w:rPr>
              <w:lastRenderedPageBreak/>
              <w:t>Основное мероприятие "Формирование и развитие федеральной контрактной системы"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постановления Правительства Российской Федерации, иные нормативные правовые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федеральной контрактной системы направлено на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и муниципальных нужд. Предусмотрено формирование единой информационной системы федеральной контрактной системы, которая должна на современном технологическом уровне обеспечивать формирование, обработку, хранение и предоставление данных на всех этапах прогнозирования, планирования и осуществления закупок, мониторинга в закупок, контроля за соблюдением законодательства Российской Федерации и иных нормативных правовых актов о ФКС, а также автоматизацию деятельности заказчиков, контрольных органов, уполномоченных органов (уполномоченных учреждений), специализированных организаций и иных участников федеральной контрактной системы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2013 г.</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08" w:name="Par8623"/>
            <w:bookmarkEnd w:id="308"/>
            <w:r>
              <w:rPr>
                <w:rFonts w:ascii="Calibri" w:hAnsi="Calibri" w:cs="Calibri"/>
              </w:rPr>
              <w:t>Подпрограмма "Развитие малого и среднего предпринимательства"</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09" w:name="Par8624"/>
            <w:bookmarkEnd w:id="309"/>
            <w:r>
              <w:rPr>
                <w:rFonts w:ascii="Calibri" w:hAnsi="Calibri" w:cs="Calibri"/>
              </w:rPr>
              <w:t>Основное мероприятие "Федеральная финансовая программа поддержки малого и среднего предпринимательства"</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Утверждение значения уровня софинансирования мероприятий, осуществляемых в рамках оказания государственной поддержки малого и среднего предпринимательства, по субъектам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порядка конкурсного отбора субъектов Российской Федерации, бюджетам которых предоставляются субсидии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Нормативный правовой акт Правительства Российской </w:t>
            </w:r>
            <w:r>
              <w:rPr>
                <w:rFonts w:ascii="Calibri" w:hAnsi="Calibri" w:cs="Calibri"/>
              </w:rPr>
              <w:lastRenderedPageBreak/>
              <w:t>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Утверждение распределения субсидий по субъектам Российской Федерации в пределах бюджетных ассигнований, </w:t>
            </w:r>
            <w:r>
              <w:rPr>
                <w:rFonts w:ascii="Calibri" w:hAnsi="Calibri" w:cs="Calibri"/>
              </w:rPr>
              <w:lastRenderedPageBreak/>
              <w:t>предусмотренных Министерству экономического развития Российской Федерации в сводной бюджетной росписи федерального бюджета на оказание государственной поддержки субъектам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Утверждение приоритетных мероприятий при реализации Федеральной финансовой программы поддержки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субъектов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10" w:name="Par8646"/>
            <w:bookmarkEnd w:id="310"/>
            <w:r>
              <w:rPr>
                <w:rFonts w:ascii="Calibri" w:hAnsi="Calibri" w:cs="Calibri"/>
              </w:rPr>
              <w:t>Основное мероприятие "Совершенствование законодательства в сфере малого и среднего предпринимательства"</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по отчуждению государственного и муниципального имущества выкупаемого субъектами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и принятие упрощенных стандартов бухгалтерской отчетности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нормативный правовой акт</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нормативной правовой базы Центрального Банка России, регулирующей ведение кассовых операций субъектами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Банк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трудового законодательства, регулирующего отношения в секторе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Минздрав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государственному заказу (работам, услугам), размещаемому государственными корпорациями и монополиями, субъектам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2013 - 2020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финансовых ресурсов для субъектов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Развитие малого и среднего предпринимательства в отдельных отраслях экономики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отраслевые ФОИВы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специальных режимов налогообложения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методики проведения выборочных статистических наблюдений за деятельностью субъектов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принципов и механизмов передачи на аутсорсинг работ (услуг) компаниям с государственным участием, утвердившим программы инновационного развития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приказ</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нормативного правового регулирования в сфере ведения бухгалтерского учета субъектами малого и среднего предпринимательства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11" w:name="Par8711"/>
            <w:bookmarkEnd w:id="311"/>
            <w:r>
              <w:rPr>
                <w:rFonts w:ascii="Calibri" w:hAnsi="Calibri" w:cs="Calibri"/>
              </w:rPr>
              <w:t>Подпрограмма "Создание благоприятных условий для развития рынка недвижимости"</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12" w:name="Par8712"/>
            <w:bookmarkEnd w:id="312"/>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процедур взаимодействия учетно-регистрационной системы с заявителями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процедур взаимодействия учетно-регистрационной системы с заявителями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Переход к ведению ГКН и ЕГРП в электронном виде и оптимизация внутриведомственных процедур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федерального закона, предусматривающего переход к ведению ГКН и ЕГРП в электронном виде и оптимизацию внутриведомственных процедур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сведений о недвижимости, содержащихся в учетно-регистрационной системе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федерального закона, предусматривающего повышение качества сведений о недвижимости, содержащихся в учетно-регистрационной системе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13" w:name="Par8743"/>
            <w:bookmarkEnd w:id="313"/>
            <w:r>
              <w:rPr>
                <w:rFonts w:ascii="Calibri" w:hAnsi="Calibri" w:cs="Calibri"/>
              </w:rPr>
              <w:t>Основное мероприятие "Развитие инфраструктуры пространственных данных Российской Федерации"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кадастровой деятельности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Ведомственные правовые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кадастровой деятельности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 правовой акт</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системы комплексной оценки достижения </w:t>
            </w:r>
            <w:r>
              <w:rPr>
                <w:rFonts w:ascii="Calibri" w:hAnsi="Calibri" w:cs="Calibri"/>
              </w:rPr>
              <w:lastRenderedPageBreak/>
              <w:t>показателей результативности и соответствия квалификационным требованиям сотрудников Росреестра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Росреестр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14" w:name="Par8759"/>
            <w:bookmarkEnd w:id="314"/>
            <w:r>
              <w:rPr>
                <w:rFonts w:ascii="Calibri" w:hAnsi="Calibri" w:cs="Calibri"/>
              </w:rPr>
              <w:lastRenderedPageBreak/>
              <w:t>Основное мероприятие "Совершенствование нормативно-правового регулирования в сфере земельных отношений, кадастрового учета, регистрации прав на недвижимое имущество и сделок с ним, геодезии, картографии и инфраструктуры пространственных данных"</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процедуры принятия решений по документам, представленным для осуществления учетно-регистрационных действий (</w:t>
            </w:r>
            <w:hyperlink r:id="rId298" w:history="1">
              <w:r>
                <w:rPr>
                  <w:rFonts w:ascii="Calibri" w:hAnsi="Calibri" w:cs="Calibri"/>
                  <w:color w:val="0000FF"/>
                </w:rPr>
                <w:t>пункт 4</w:t>
              </w:r>
            </w:hyperlink>
            <w:r>
              <w:rPr>
                <w:rFonts w:ascii="Calibri" w:hAnsi="Calibri" w:cs="Calibri"/>
              </w:rPr>
              <w:t xml:space="preserve">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федеральной информационной адресной системе - подготовлен в целях совершенствования регулирования отношений, связанных с присвоением адресов объектам адресации и с использованием адресной информации. Законопроект направлен на установление единых стандартов присвоения адресов объектам недвижимости, определения структурных элементов адреса, предоставления информации об адресах объектов адресации. Законопроектом устанавливаются полномочия Правительства Российской Федерации, федеральных органов исполнительной власти, органов государственной власти субъектов Российской Федерации и органов местного самоуправления в сфере адресных отношений. Законопроект принят Государственной Думой Федерального Собрания Российской Федерации в первом чтении.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 вопросам местного значения полномочия муниципальных районов и городских округов по присвоению (изменению) наименований элементам улично-дорожной сети и элементам планировочной структуры (улицам, площадям, иным территориям проживания граждан), присвоению (изменению) адреса объектам адресации. Законопроект </w:t>
            </w:r>
            <w:r>
              <w:rPr>
                <w:rFonts w:ascii="Calibri" w:hAnsi="Calibri" w:cs="Calibri"/>
              </w:rPr>
              <w:lastRenderedPageBreak/>
              <w:t>предусматривает внесение изменений в Градостроительный кодекс Российской Федерации. В частности предлагается расширить сферу градостроительной деятельности за счет отнесения к ней функции по присвоению (изменению) наименований элементам улично-дорожной сети и элементам планировочной структуры, присвоению (изменению) адресов объектам адресации. Законопроектом даются определения таким понятиям, как адрес, объект адресации, адресный план, реестр элементов улично-дорожной сети и элементов планировочной структуры.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Также в Законопроект внесено положение, на основании которого присвоение адресов объектам адресации осуществляется в соответствии с требованиями, утвержденными уполномоченным Правительством Российской Федерации федеральным органом исполнительной власти. Внесение изменений в вышеуказанные законодательные акты Российской Федерации обеспечит формирование и использование точной, унифицированной, актуальной, общедоступной адресной информации, а также предоставление ее заинтересованным лицам на основе применения информационных технологий, в том числе и за плату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геодезии, картографии и пространственных данных - положения направлены на регулирование геодезической и картографической деятельности, создание и развитие инфраструктуре пространственных данных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15" w:name="Par8777"/>
            <w:bookmarkEnd w:id="315"/>
            <w:r>
              <w:rPr>
                <w:rFonts w:ascii="Calibri" w:hAnsi="Calibri" w:cs="Calibri"/>
              </w:rPr>
              <w:t>Подпрограмма "Совершенствование государственного и муниципального управления"</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3"/>
              <w:rPr>
                <w:rFonts w:ascii="Calibri" w:hAnsi="Calibri" w:cs="Calibri"/>
              </w:rPr>
            </w:pPr>
            <w:bookmarkStart w:id="316" w:name="Par8778"/>
            <w:bookmarkEnd w:id="316"/>
            <w:r>
              <w:rPr>
                <w:rFonts w:ascii="Calibri" w:hAnsi="Calibri" w:cs="Calibri"/>
              </w:rPr>
              <w:t>Основное мероприятие "Снижение административных барьеров"</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федеральные законы,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лицензирования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Постановления Правительства </w:t>
            </w:r>
            <w:r>
              <w:rPr>
                <w:rFonts w:ascii="Calibri" w:hAnsi="Calibri" w:cs="Calibri"/>
              </w:rPr>
              <w:lastRenderedPageBreak/>
              <w:t>Российской Федерации, федеральные законы, ведомственные акты</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Упорядочение системы нормативно-правового </w:t>
            </w:r>
            <w:r>
              <w:rPr>
                <w:rFonts w:ascii="Calibri" w:hAnsi="Calibri" w:cs="Calibri"/>
              </w:rPr>
              <w:lastRenderedPageBreak/>
              <w:t>регулирования в сфере государственного контроля (надзора), государственной регистрации, иной разрешительной деятельности государственных органов; совершенствование системы муниципального контроля; исключение дублирования различных контрольно-надзорных функций; 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деятельностью, а также классификации подконтрольных объектов по степени их потенциальной опасности; разработка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мониторинга эффективности деятельности контрольно-надзорных органов; расширение сфер экономической деятельности, в которых вводится уведомительный порядок начала деятельности; оптимизация организационной структуры, численности и финансового обеспечения контрольно-надзорных органов; 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Минэкономразвития </w:t>
            </w:r>
            <w:r>
              <w:rPr>
                <w:rFonts w:ascii="Calibri" w:hAnsi="Calibri" w:cs="Calibri"/>
              </w:rPr>
              <w:lastRenderedPageBreak/>
              <w:t>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 годы</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эффективного использования механизма аккредитации как одной из форм государственного регулирования; установление единой политики, единых </w:t>
            </w:r>
            <w:r>
              <w:rPr>
                <w:rFonts w:ascii="Calibri" w:hAnsi="Calibri" w:cs="Calibri"/>
              </w:rPr>
              <w:lastRenderedPageBreak/>
              <w:t>принципов и правил аккредитации на территории Российской Федерации; обеспечение потребности граждан, общества и государства в получении объективных и достоверных результатов деятельности аккредитованных лиц; повышение компетентности и эффективности деятельности аккредитованных лиц; гармонизацию правил и процедур аккредитации с международными стандартами, рекомендациями, создание условий для признания внутри страны и за рубежом результатов аккредитации и результатов деятельности аккредитованных юридических и физических лиц по оценке соответствия; устранение неоправданных препятствий для развития торговли и производства; создание условий для добросовестной конкуренции и недопущения ее ограничения в области оценки соответствия; обеспечение открытости и доступности информации в области аккредитации для всех заинтересованных лиц, создание института независимых экспертов по аккредитации и механизма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0" w:type="auto"/>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Постановления Правительства Российской Федерации, приказы Минэкономразвития России и Росаккредитации</w:t>
            </w:r>
          </w:p>
        </w:tc>
        <w:tc>
          <w:tcPr>
            <w:tcW w:w="0" w:type="auto"/>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Постановления Правительства Российской Федерации, приказы Минэкономразвития России и Росаккредитации, направленные на реализацию положений федерального закона "Об аккредитации в Российской Федерации" упорядочение системы нормативно-правового регулирования в сфере лицензирования, государственного контроля (надзора), государственной регистрации, иной разрешительной деятельности государственных органов, - совершенствование системы муниципального контроля; - исключение дублирования различных контрольно-надзорных функций; - внедрение в деятельность контрольно-надзорных органов принципа дифференцированного подхода к определению масштабов планируемых и проводимых мероприятий по контролю, основанного на методологии и методах оценки рисков и управления рисками причинения вреда, связанного с хозяйственной и (или) профессиональной </w:t>
            </w:r>
            <w:r>
              <w:rPr>
                <w:rFonts w:ascii="Calibri" w:hAnsi="Calibri" w:cs="Calibri"/>
              </w:rPr>
              <w:lastRenderedPageBreak/>
              <w:t>деятельностью, а также классификации подконтрольных объектов по степени их потенциальной опасности; - развитие системы саморегулирования, включая осуществление корпоративного нормативного регулирования, контроля, страхования гражданской ответственности, в сферах профессиональной деятельности (частная медицинская, образовательная, сыскная, охранная, экспертная, нотариальная, адвокатская и другие виды профессиональной деятельности физических лиц); - разработка и внедрение критериев, показателей, методик оценки эффективности контрольно-надзорной деятельности, в том числе характеризующих предотвращенный ущерб жизни, здоровью людей, окружающей среде, имуществу, системам обеспечения безопасности, культурному наследию в результате принятых органами государственного контроля (надзора), муниципального контроля мер по предотвращению нарушений законодательства Российской Федерации, осуществление мониторинга эффективности деятельности контрольно-надзорных органов; - расширение сфер экономической деятельности, в которых вводится уведомительный порядок начала деятельности; - оптимизация организационной структуры, численности и финансового обеспечения контрольно-надзорных органов; - формирование системы административной ответственности хозяйствующих субъектов, адекватной потенциальной опасности, экономической и общественной значимости совершаемых правонарушений</w:t>
            </w:r>
          </w:p>
        </w:tc>
        <w:tc>
          <w:tcPr>
            <w:tcW w:w="0" w:type="auto"/>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Росаккредитация</w:t>
            </w:r>
          </w:p>
        </w:tc>
        <w:tc>
          <w:tcPr>
            <w:tcW w:w="0" w:type="auto"/>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c>
          <w:tcPr>
            <w:tcW w:w="0" w:type="auto"/>
            <w:vMerge/>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17" w:name="Par8802"/>
            <w:bookmarkEnd w:id="317"/>
            <w:r>
              <w:rPr>
                <w:rFonts w:ascii="Calibri" w:hAnsi="Calibri" w:cs="Calibri"/>
              </w:rPr>
              <w:lastRenderedPageBreak/>
              <w:t>Подпрограмма "Стимулирование инноваций"</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необходимых инструментов и механизмов поддержки государственных закупок инновационной продукции и эффективного размещения заказа на НИОКР для государственных нужд в рамках создания федеральной контрактной системы</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Распространение части льгот, предусмотренных </w:t>
            </w:r>
            <w:r>
              <w:rPr>
                <w:rFonts w:ascii="Calibri" w:hAnsi="Calibri" w:cs="Calibri"/>
              </w:rPr>
              <w:lastRenderedPageBreak/>
              <w:t xml:space="preserve">Федеральным </w:t>
            </w:r>
            <w:hyperlink r:id="rId299" w:history="1">
              <w:r>
                <w:rPr>
                  <w:rFonts w:ascii="Calibri" w:hAnsi="Calibri" w:cs="Calibri"/>
                  <w:color w:val="0000FF"/>
                </w:rPr>
                <w:t>законом</w:t>
              </w:r>
            </w:hyperlink>
            <w:r>
              <w:rPr>
                <w:rFonts w:ascii="Calibri" w:hAnsi="Calibri" w:cs="Calibri"/>
              </w:rPr>
              <w:t xml:space="preserve"> от 28 сентября 2010 г. N 244-ФЗ "Об инновационном центре "Сколково", на наукограды и ЗАТО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Минэкономразвития </w:t>
            </w:r>
            <w:r>
              <w:rPr>
                <w:rFonts w:ascii="Calibri" w:hAnsi="Calibri" w:cs="Calibri"/>
              </w:rPr>
              <w:lastRenderedPageBreak/>
              <w:t>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Упрощение импорта технологий, в том числе за счет отмены требования представления сертификатов соответствия при импорте оборудования, перечень которого устанавливается Правительством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18" w:name="Par8818"/>
            <w:bookmarkEnd w:id="318"/>
            <w:r>
              <w:rPr>
                <w:rFonts w:ascii="Calibri" w:hAnsi="Calibri" w:cs="Calibri"/>
              </w:rPr>
              <w:t>Подпрограмма "Повышение эффективности деятельности естественных монополий и иных регулируемых организаций и развитие стимулирующего регулирования"</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Внедрение стимулирующего регулирования, основанного на: утверждении инвестиционных программ субъектов естественных монополий (с учетом определенных в рамках долгосрочных схем и программ оптимальных параметров), согласованных с инвестиционными программами сопряженных субъектов естественных монополий и конкурентных сфер деятельности, ограничении удельной стоимости инвестиций укрупненными нормативами цены строительства, обязательности проведения технологического аудита в отдельных отраслях и достижении целей создания единых конкурентных рынков в сопряженных с естественными монополиями сферах; установленных показателях эффективности, надежности и качества с учетом использования ценового стимулирующего регулирования уровней тарифов, включая долгосрочные, которое обеспечивает для потребителей доступность базовых товаров и услуг, а для регулируемых субъектов - развитие и модернизацию в сферах естественных монополий и сопряженных с ними сферах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единого информационного ресурса, обеспечивающего раскрытие информации субъектами регулирования о тарифах естественных монополий, инвестиционных, операционных расходах, финансовой деятельности, регулировании субъектов естественных монополий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стандартов коммерческого качества </w:t>
            </w:r>
            <w:r>
              <w:rPr>
                <w:rFonts w:ascii="Calibri" w:hAnsi="Calibri" w:cs="Calibri"/>
              </w:rPr>
              <w:lastRenderedPageBreak/>
              <w:t>обслуживания потребителей услуг естественных монополий и ответственности за их соблюдение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ФАС России 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единого информационного ресурса, обеспечивающего раскрытие информации органами регулирования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30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в Правительство Российской Федерации проекта постановления Правительства Российской о внесении изменений в </w:t>
            </w:r>
            <w:hyperlink r:id="rId3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октября 2012 г. N 1075 "О ценообразовании в сфере теплоснабжения"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внесение в Правительство Российской Федерации проекта акта Правительства Российской о сроках и этапах перехода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а также перечень субъектов Российской Федерации и (или) виды организаций, в отношении которых применяется метод экономически обоснованных расходов (затрат)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Постановление Правительства </w:t>
            </w:r>
            <w:r>
              <w:rPr>
                <w:rFonts w:ascii="Calibri" w:hAnsi="Calibri" w:cs="Calibri"/>
              </w:rPr>
              <w:lastRenderedPageBreak/>
              <w:t>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Разработка и внесение в Правительство Российской </w:t>
            </w:r>
            <w:r>
              <w:rPr>
                <w:rFonts w:ascii="Calibri" w:hAnsi="Calibri" w:cs="Calibri"/>
              </w:rPr>
              <w:lastRenderedPageBreak/>
              <w:t xml:space="preserve">Федерации проекта акта Правительства Российской об утверждении сроков, этапов перехода к государственному регулированию тарифов, указанных в </w:t>
            </w:r>
            <w:hyperlink r:id="rId302" w:history="1">
              <w:r>
                <w:rPr>
                  <w:rFonts w:ascii="Calibri" w:hAnsi="Calibri" w:cs="Calibri"/>
                  <w:color w:val="0000FF"/>
                </w:rPr>
                <w:t>пунктах 1</w:t>
              </w:r>
            </w:hyperlink>
            <w:r>
              <w:rPr>
                <w:rFonts w:ascii="Calibri" w:hAnsi="Calibri" w:cs="Calibri"/>
              </w:rPr>
              <w:t xml:space="preserve"> - </w:t>
            </w:r>
            <w:hyperlink r:id="rId303" w:history="1">
              <w:r>
                <w:rPr>
                  <w:rFonts w:ascii="Calibri" w:hAnsi="Calibri" w:cs="Calibri"/>
                  <w:color w:val="0000FF"/>
                </w:rPr>
                <w:t>3 части 2</w:t>
              </w:r>
            </w:hyperlink>
            <w:r>
              <w:rPr>
                <w:rFonts w:ascii="Calibri" w:hAnsi="Calibri" w:cs="Calibri"/>
              </w:rPr>
              <w:t xml:space="preserve">, </w:t>
            </w:r>
            <w:hyperlink r:id="rId304" w:history="1">
              <w:r>
                <w:rPr>
                  <w:rFonts w:ascii="Calibri" w:hAnsi="Calibri" w:cs="Calibri"/>
                  <w:color w:val="0000FF"/>
                </w:rPr>
                <w:t>пунктах 1</w:t>
              </w:r>
            </w:hyperlink>
            <w:r>
              <w:rPr>
                <w:rFonts w:ascii="Calibri" w:hAnsi="Calibri" w:cs="Calibri"/>
              </w:rPr>
              <w:t xml:space="preserve"> и </w:t>
            </w:r>
            <w:hyperlink r:id="rId305" w:history="1">
              <w:r>
                <w:rPr>
                  <w:rFonts w:ascii="Calibri" w:hAnsi="Calibri" w:cs="Calibri"/>
                  <w:color w:val="0000FF"/>
                </w:rPr>
                <w:t>2 части 5</w:t>
              </w:r>
            </w:hyperlink>
            <w:r>
              <w:rPr>
                <w:rFonts w:ascii="Calibri" w:hAnsi="Calibri" w:cs="Calibri"/>
              </w:rPr>
              <w:t xml:space="preserve">, </w:t>
            </w:r>
            <w:hyperlink r:id="rId306" w:history="1">
              <w:r>
                <w:rPr>
                  <w:rFonts w:ascii="Calibri" w:hAnsi="Calibri" w:cs="Calibri"/>
                  <w:color w:val="0000FF"/>
                </w:rPr>
                <w:t>пунктах 1</w:t>
              </w:r>
            </w:hyperlink>
            <w:r>
              <w:rPr>
                <w:rFonts w:ascii="Calibri" w:hAnsi="Calibri" w:cs="Calibri"/>
              </w:rPr>
              <w:t xml:space="preserve"> и </w:t>
            </w:r>
            <w:hyperlink r:id="rId307" w:history="1">
              <w:r>
                <w:rPr>
                  <w:rFonts w:ascii="Calibri" w:hAnsi="Calibri" w:cs="Calibri"/>
                  <w:color w:val="0000FF"/>
                </w:rPr>
                <w:t>2 части 8 статьи 31</w:t>
              </w:r>
            </w:hyperlink>
            <w:r>
              <w:rPr>
                <w:rFonts w:ascii="Calibri" w:hAnsi="Calibri" w:cs="Calibri"/>
              </w:rPr>
              <w:t xml:space="preserve"> Федерального закона от 7 декабря 2011 г. N 416-ФЗ "О водоснабжении и водоотведении", на основе долгосрочных параметров регулирования тарифов (с применением метода доходности инвестированного капитала или метода индексации), а также перечень субъектов Российской Федерации и (или) виды организаций, в отношении которых применяются иные методы регулирования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услуг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Минтранс</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России ФАС России</w:t>
            </w:r>
          </w:p>
        </w:tc>
        <w:tc>
          <w:tcPr>
            <w:tcW w:w="0" w:type="auto"/>
          </w:tcPr>
          <w:p w:rsidR="00C65754" w:rsidRDefault="00C65754">
            <w:pPr>
              <w:widowControl w:val="0"/>
              <w:autoSpaceDE w:val="0"/>
              <w:autoSpaceDN w:val="0"/>
              <w:adjustRightInd w:val="0"/>
              <w:spacing w:after="0" w:line="240" w:lineRule="auto"/>
              <w:jc w:val="both"/>
              <w:rPr>
                <w:rFonts w:ascii="Calibri" w:hAnsi="Calibri" w:cs="Calibri"/>
              </w:rPr>
            </w:pP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 учетом изменений, внесенных Федеральным </w:t>
            </w:r>
            <w:hyperlink r:id="rId309" w:history="1">
              <w:r>
                <w:rPr>
                  <w:rFonts w:ascii="Calibri" w:hAnsi="Calibri" w:cs="Calibri"/>
                  <w:color w:val="0000FF"/>
                </w:rPr>
                <w:t>законом</w:t>
              </w:r>
            </w:hyperlink>
            <w:r>
              <w:rPr>
                <w:rFonts w:ascii="Calibri" w:hAnsi="Calibri" w:cs="Calibri"/>
              </w:rP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Правил технологического присоединения к газораспределительным сетям. Правила определяют порядок технологического присоединения газоиспользующего оборудования и газораспределительных сетей, принадлежащих газораспределительным </w:t>
            </w:r>
            <w:r>
              <w:rPr>
                <w:rFonts w:ascii="Calibri" w:hAnsi="Calibri" w:cs="Calibri"/>
              </w:rPr>
              <w:lastRenderedPageBreak/>
              <w:t>организациям и иным лицам, к газораспределительным сетям, регламентируют процедуру присоединения газоиспользующего оборудования к газораспределительным сетям</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ФСТ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19" w:name="Par8902"/>
            <w:bookmarkEnd w:id="319"/>
            <w:r>
              <w:rPr>
                <w:rFonts w:ascii="Calibri" w:hAnsi="Calibri" w:cs="Calibri"/>
              </w:rPr>
              <w:lastRenderedPageBreak/>
              <w:t>Подпрограмма "Подготовка управленческих кадров для организаций народного хозяйства Российской Федерации"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Распоряжения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Утверждение распределения субсидий, предоставляемых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порядке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2013/14 - 2014/15 учебных годах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Приказы Минэкономразвития России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Государственного плана подготовки управленческих кадров для организаций народного хозяйства Российской Федерации в очередном учебном году</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3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31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об утверждении программы "Подготовка управленческих кадров в сфере здравоохранения и образования в 2011 - 2014 гг."</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необходимости</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20" w:name="Par8932"/>
            <w:bookmarkEnd w:id="320"/>
            <w:r>
              <w:rPr>
                <w:rFonts w:ascii="Calibri" w:hAnsi="Calibri" w:cs="Calibri"/>
              </w:rPr>
              <w:t>Подпрограмма "Совершенствование системы государственного стратегического управления"</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стратегическом планировании в Российской Федерации" обеспечит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 комплексный подход к решению приоритетных задач развития на основе использования программно-целевых методов управления. В рамках реализации положений федерального закона "О государственном стратегическом планировании" в рамках реализации подпрограммы будут разработаны: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порядок ведения реестров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порядок проведения общественного обсуждения в рамках разработки и реализации документов государственного стратегического планирования.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рамках федерального закона "О стратегическом планировании в Российской Федерации" будет обеспечена синхронизация механизмов государственного прогнозирования социально-экономического развития с разработкой и реализацией стратегических и программных документов, что будет способствовать повышению обоснованности стратегических целей и приоритетов в различных секторах экономики и социальной сферы на основе учета объективных тенденций социально-экономического развития</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21" w:name="Par8941"/>
            <w:bookmarkEnd w:id="321"/>
            <w:r>
              <w:rPr>
                <w:rFonts w:ascii="Calibri" w:hAnsi="Calibri" w:cs="Calibri"/>
              </w:rPr>
              <w:t>Подпрограмма "Формирование официальной статистической информации"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Предложения по актуализации Федерального </w:t>
            </w:r>
            <w:hyperlink r:id="rId312"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субъекты официального статистического учета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 сроки, установленные Правительством Российской Федерации</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Всероссийской переписи населения 2020 года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подведении итогов Всероссийской переписи населения 2020 года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Всероссийской сельскохозяйственной переписи 2016 года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w:t>
            </w:r>
            <w:r>
              <w:rPr>
                <w:rFonts w:ascii="Calibri" w:hAnsi="Calibri" w:cs="Calibri"/>
              </w:rPr>
              <w:lastRenderedPageBreak/>
              <w:t>2016 года</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Росстат</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Минрегион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313" w:history="1">
              <w:r>
                <w:rPr>
                  <w:rFonts w:ascii="Calibri" w:hAnsi="Calibri" w:cs="Calibri"/>
                  <w:color w:val="0000FF"/>
                </w:rPr>
                <w:t>закон</w:t>
              </w:r>
            </w:hyperlink>
            <w:r>
              <w:rPr>
                <w:rFonts w:ascii="Calibri" w:hAnsi="Calibri" w:cs="Calibri"/>
              </w:rPr>
              <w:t xml:space="preserve"> Российской Федерации от 21 июля 2005 г. N 108-ФЗ "О Всероссийской сельскохозяйственной переписи"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 заинтересованные федеральные органы исполнительной власти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 проведении сплошного федерального статистического наблюдения за деятельностью субъектов малого и среднего предпринимательства за 2015 год и разработке базовых таблиц "затраты-выпуск" за 2016 год</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gridSpan w:val="5"/>
          </w:tcPr>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22" w:name="Par8995"/>
            <w:bookmarkEnd w:id="322"/>
            <w:r>
              <w:rPr>
                <w:rFonts w:ascii="Calibri" w:hAnsi="Calibri" w:cs="Calibri"/>
              </w:rPr>
              <w:t>Подпрограмма "Создание и развитие инновационного центра "Сколково"</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3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 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иными лицами,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как это предусмотрено в </w:t>
            </w:r>
            <w:hyperlink r:id="rId315" w:history="1">
              <w:r>
                <w:rPr>
                  <w:rFonts w:ascii="Calibri" w:hAnsi="Calibri" w:cs="Calibri"/>
                  <w:color w:val="0000FF"/>
                </w:rPr>
                <w:t>части 4 статьи 13</w:t>
              </w:r>
            </w:hyperlink>
            <w:r>
              <w:rPr>
                <w:rFonts w:ascii="Calibri" w:hAnsi="Calibri" w:cs="Calibri"/>
              </w:rPr>
              <w:t xml:space="preserve"> Федерального закона от 25 июля 2002 г. N 115-ФЗ "О правовом положении иностранных граждан в Российской Федерации")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ФМС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16"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предоставления возможности одновременного лицензирования </w:t>
            </w:r>
            <w:r>
              <w:rPr>
                <w:rFonts w:ascii="Calibri" w:hAnsi="Calibri" w:cs="Calibri"/>
              </w:rPr>
              <w:lastRenderedPageBreak/>
              <w:t>Сколковского института науки и технологий и государственной аккредитации в рамках деятельности Фонда Сколково, в целях создания условий для деятельности Сколковского института науки и технологий, а также обеспечения гарантий студентам и аспирантам Сколковского института науки и технологий в том числе, в части отсрочки от призыва в армию; включения положения о том, что устав образовательной организации, а также вносимые в него изменения могут утверждаться не только его учредителем, но и высшим органом управления организации; включения положения о том, что руководитель образовательной организации может назначаться не только ее учредителем, но и ее высшим органом управления; включения положения о том, что в частных образовательных организациях на территории ИЦ "Сколково" должность президента может учреждаться при отсутствии ученого совета по решению высшего органа управления; уточнения, что порядок приема в вузы на территории ИЦ "Сколково", а также перечень вступительных испытаний при приеме на обучение в них устанавливаются ими самостоятельно в соответствии с правилами осуществления образовательной деятельности, утверждаемыми Фондом "Сколково" как управляющей компанией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17" w:history="1">
              <w:r>
                <w:rPr>
                  <w:rFonts w:ascii="Calibri" w:hAnsi="Calibri" w:cs="Calibri"/>
                  <w:color w:val="0000FF"/>
                </w:rPr>
                <w:t>закон</w:t>
              </w:r>
            </w:hyperlink>
            <w:r>
              <w:rPr>
                <w:rFonts w:ascii="Calibri" w:hAnsi="Calibri" w:cs="Calibri"/>
              </w:rPr>
              <w:t xml:space="preserve"> N 127-ФЗ "О науке и государственной научно-технической политике" и в Налоговой </w:t>
            </w:r>
            <w:hyperlink r:id="rId318" w:history="1">
              <w:r>
                <w:rPr>
                  <w:rFonts w:ascii="Calibri" w:hAnsi="Calibri" w:cs="Calibri"/>
                  <w:color w:val="0000FF"/>
                </w:rPr>
                <w:t>кодекс</w:t>
              </w:r>
            </w:hyperlink>
            <w:r>
              <w:rPr>
                <w:rFonts w:ascii="Calibri" w:hAnsi="Calibri" w:cs="Calibri"/>
              </w:rPr>
              <w:t xml:space="preserve"> Российской Федерации в части предоставления Сколковскому институту науки и технологий прав на осуществление совместных исследовательских программ и режима налогообложения указанной деятельности, аналогичных установленным для иных российских высших учебных заведений</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Минобрнауки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19"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предоставления Сколковскому институту науки и технологий права </w:t>
            </w:r>
            <w:r>
              <w:rPr>
                <w:rFonts w:ascii="Calibri" w:hAnsi="Calibri" w:cs="Calibri"/>
              </w:rPr>
              <w:lastRenderedPageBreak/>
              <w:t>собственности на помещения, используемые для ведения образовательной, исследовательской и инновационной деятельности в рамках инфраструктуры территории инновационного центра "Сколково"</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C65754" w:rsidTr="00F9399E">
        <w:tblPrEx>
          <w:tblCellMar>
            <w:top w:w="0" w:type="dxa"/>
            <w:bottom w:w="0" w:type="dxa"/>
          </w:tblCellMar>
        </w:tblPrEx>
        <w:trPr>
          <w:tblCellSpacing w:w="5" w:type="nil"/>
        </w:trPr>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0" w:type="auto"/>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20" w:history="1">
              <w:r>
                <w:rPr>
                  <w:rFonts w:ascii="Calibri" w:hAnsi="Calibri" w:cs="Calibri"/>
                  <w:color w:val="0000FF"/>
                </w:rPr>
                <w:t>закон</w:t>
              </w:r>
            </w:hyperlink>
            <w:r>
              <w:rPr>
                <w:rFonts w:ascii="Calibri" w:hAnsi="Calibri" w:cs="Calibri"/>
              </w:rPr>
              <w:t xml:space="preserve"> N 244-ФЗ "Об инновационном центре "Сколково" в части переноса сроков вступления в силу </w:t>
            </w:r>
            <w:hyperlink r:id="rId321" w:history="1">
              <w:r>
                <w:rPr>
                  <w:rFonts w:ascii="Calibri" w:hAnsi="Calibri" w:cs="Calibri"/>
                  <w:color w:val="0000FF"/>
                </w:rPr>
                <w:t>пункта 2 части 2 статьи 10</w:t>
              </w:r>
            </w:hyperlink>
            <w:r>
              <w:rPr>
                <w:rFonts w:ascii="Calibri" w:hAnsi="Calibri" w:cs="Calibri"/>
              </w:rPr>
              <w:t xml:space="preserve"> о соблюдении условия постоянного размещения постоянно действующего исполнительного органа юридического лица, а также иных органов или лиц, имеющих право действовать от имени юридического лица без доверенности</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c>
          <w:tcPr>
            <w:tcW w:w="0" w:type="auto"/>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F9399E" w:rsidRDefault="00F9399E">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323" w:name="Par9030"/>
      <w:bookmarkEnd w:id="323"/>
      <w:r>
        <w:rPr>
          <w:rFonts w:ascii="Calibri" w:hAnsi="Calibri" w:cs="Calibri"/>
        </w:rPr>
        <w:t>Приложение N 5</w:t>
      </w:r>
    </w:p>
    <w:p w:rsidR="00C65754" w:rsidRDefault="00C65754">
      <w:pPr>
        <w:widowControl w:val="0"/>
        <w:autoSpaceDE w:val="0"/>
        <w:autoSpaceDN w:val="0"/>
        <w:adjustRightInd w:val="0"/>
        <w:spacing w:after="0" w:line="240" w:lineRule="auto"/>
        <w:jc w:val="right"/>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324" w:name="Par9032"/>
      <w:bookmarkEnd w:id="324"/>
      <w:r>
        <w:rPr>
          <w:rFonts w:ascii="Calibri" w:hAnsi="Calibri" w:cs="Calibri"/>
        </w:rPr>
        <w:t>ПРОГНОЗ</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 ОКАЗАНИЕ ГОСУДАРСТВЕННЫХ УСЛУГ ФЕДЕРАЛЬНЫМИ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УЧРЕЖДЕНИЯМИ ПО ГОСУДАРСТВЕННОЙ</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ПРОГРАММЕ РОССИЙСКОЙ ФЕДЕРАЦИИ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9"/>
        <w:gridCol w:w="1333"/>
        <w:gridCol w:w="1333"/>
        <w:gridCol w:w="1333"/>
        <w:gridCol w:w="1564"/>
        <w:gridCol w:w="1564"/>
        <w:gridCol w:w="1564"/>
      </w:tblGrid>
      <w:tr w:rsidR="00C65754">
        <w:tblPrEx>
          <w:tblCellMar>
            <w:top w:w="0" w:type="dxa"/>
            <w:bottom w:w="0" w:type="dxa"/>
          </w:tblCellMar>
        </w:tblPrEx>
        <w:trPr>
          <w:tblCellSpacing w:w="5" w:type="nil"/>
        </w:trPr>
        <w:tc>
          <w:tcPr>
            <w:tcW w:w="2839" w:type="dxa"/>
            <w:vMerge w:val="restart"/>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показателя объема услуги, подпрограммы/ВЦП:</w:t>
            </w:r>
          </w:p>
        </w:tc>
        <w:tc>
          <w:tcPr>
            <w:tcW w:w="3999" w:type="dxa"/>
            <w:gridSpan w:val="3"/>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услуги</w:t>
            </w:r>
          </w:p>
        </w:tc>
        <w:tc>
          <w:tcPr>
            <w:tcW w:w="4692" w:type="dxa"/>
            <w:gridSpan w:val="3"/>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Расход федерального бюджета на оказание государственной услуги, тыс. рублей</w:t>
            </w:r>
          </w:p>
        </w:tc>
      </w:tr>
      <w:tr w:rsidR="00C65754">
        <w:tblPrEx>
          <w:tblCellMar>
            <w:top w:w="0" w:type="dxa"/>
            <w:bottom w:w="0" w:type="dxa"/>
          </w:tblCellMar>
        </w:tblPrEx>
        <w:trPr>
          <w:tblCellSpacing w:w="5" w:type="nil"/>
        </w:trPr>
        <w:tc>
          <w:tcPr>
            <w:tcW w:w="2839" w:type="dxa"/>
            <w:vMerge/>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33"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33"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6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56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64"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C65754">
        <w:tblPrEx>
          <w:tblCellMar>
            <w:top w:w="0" w:type="dxa"/>
            <w:bottom w:w="0" w:type="dxa"/>
          </w:tblCellMar>
        </w:tblPrEx>
        <w:trPr>
          <w:tblCellSpacing w:w="5" w:type="nil"/>
        </w:trPr>
        <w:tc>
          <w:tcPr>
            <w:tcW w:w="283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государственного кадастрового учета недвижимого имущества, в том числе ведение государственного кадастра недвижимости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учетных действий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25" w:name="Par9051"/>
            <w:bookmarkEnd w:id="325"/>
            <w:r>
              <w:rPr>
                <w:rFonts w:ascii="Calibri" w:hAnsi="Calibri" w:cs="Calibri"/>
              </w:rPr>
              <w:t>Подпрограмма "Создание благоприятных условий для развития рынка недвижимости"</w:t>
            </w:r>
          </w:p>
        </w:tc>
        <w:tc>
          <w:tcPr>
            <w:tcW w:w="8691" w:type="dxa"/>
            <w:gridSpan w:val="6"/>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43596727</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38100165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40384829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8534059,3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9735354,2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10122053,5</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сведений, внесенных в государственный кадастр недвижимости, (без взимания платы)</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документов, в виде которых предоставляются сведения, содержащиеся в государственном кадастре недвижимости, выданных без взимания платы</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"Создание благоприятных условий для развития рынка </w:t>
            </w:r>
            <w:r>
              <w:rPr>
                <w:rFonts w:ascii="Calibri" w:hAnsi="Calibri" w:cs="Calibri"/>
              </w:rPr>
              <w:lastRenderedPageBreak/>
              <w:t>недвижимости"</w:t>
            </w:r>
          </w:p>
        </w:tc>
        <w:tc>
          <w:tcPr>
            <w:tcW w:w="8691" w:type="dxa"/>
            <w:gridSpan w:val="6"/>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5135764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9270900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9457170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228849,6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901780,4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902497,7</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государственную регистрацию прав на недвижимое имущество и сделок с ним, выдача документов после проведения государственной регистрации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принятых/выданных пакетов документов</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22232889</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22877414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22831699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791268,5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1123281,0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1100031,3</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предоставление сведений из Единого государственного реестра прав на недвижимое имущество и сделок с ним, выдача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запросов/выданных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"Создание благоприятных условий для развития рынка </w:t>
            </w:r>
            <w:r>
              <w:rPr>
                <w:rFonts w:ascii="Calibri" w:hAnsi="Calibri" w:cs="Calibri"/>
              </w:rPr>
              <w:lastRenderedPageBreak/>
              <w:t>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14804594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10146499</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9865600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527191,6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104914,8</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100037,2</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Осуществление ведомственного телефонного обслуживания заинтересованных физических и юридических лиц, в том числе проведение опросов заявителей с целью оценки степени удовлетворенности уровнем качества и доступности предоставления государственных услуг Росреестра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входящих и исходящих звонков с установившимся соединением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6505790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7311654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442979,2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452006,5</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государственных услуг по предоставлению в пользование материалов и данных из федерального и территориальных картографо-геодезических фондов заинтересованным лицам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в пользование единиц хранения материалов и данных &lt;1&gt; федерального и территориальных картографо-геодезических фондов, ед. хр.</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31570,2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42280,0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42295,0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государственных услуг по предоставлению в пользование материалов и данных из федерального и территориальных картографо-геодезических фондов заинтересованным лицам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обращений на Геопортал инфраструктуры пространственных данных Российской Федерации,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1412460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2790390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55894,0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52840,1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45762,4</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Ведение Федерального и территориальных картографо-геодезических фондов (за исключением Государственного каталога географических наименований), в том числе базы метаданных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хранения, ед. хр.</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функций по </w:t>
            </w:r>
            <w:r>
              <w:rPr>
                <w:rFonts w:ascii="Calibri" w:hAnsi="Calibri" w:cs="Calibri"/>
              </w:rPr>
              <w:lastRenderedPageBreak/>
              <w:t>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63833601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63211500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63231300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94473,0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119147,3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118478,3</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Ведение Федерального и территориальных картографо-геодезических фондов (за исключением Государственного каталога географических наименований), в том числе базы метаданных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хранения материалов и данных Федерального и территориальных картографо-геодезических фондов, по которым проведена инвентаризация, ед. хр.</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6385000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6387000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84752,4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93399,0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и ведение Государственного каталога географических названий, обеспечивающего регистрацию и учет наименований географических объектов Российской Федерации, континентального шельфа и исключительной экономической зоны Российской Федерации и географических объектов, открытых или выделенных российскими исследователями в пределах открытого моря и Антарктики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наименований географических объектов в Государственном каталоге географических наименований,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функций по </w:t>
            </w:r>
            <w:r>
              <w:rPr>
                <w:rFonts w:ascii="Calibri" w:hAnsi="Calibri" w:cs="Calibri"/>
              </w:rPr>
              <w:lastRenderedPageBreak/>
              <w:t>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11162,9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15435,1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16612,1</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и ведение Государственного каталога географических названий, обеспечивающего регистрацию и учет наименований географических объектов Российской Федерации, континентального шельфа и исключительной экономической зоны Российской Федерации и географических объектов, открытых или выделенных российскими исследователями в пределах открытого моря и Антарктики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корректировок, внесенных в Государственный каталог географических наименований,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759,2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803,9</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Создание и ведение единой электронной цифровой картографической основы государственного кадастра недвижимости и других федеральных автоматизированных информационных систем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хранения, переработанных и загруженных в электронное хранилище,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функций по </w:t>
            </w:r>
            <w:r>
              <w:rPr>
                <w:rFonts w:ascii="Calibri" w:hAnsi="Calibri" w:cs="Calibri"/>
              </w:rPr>
              <w:lastRenderedPageBreak/>
              <w:t>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19300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28315,3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31429,2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34592,8</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параметров фигуры Земли и в этих целях внешнего гравитационного поля</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мониторинга (геодинамические полигоны),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3212,5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4526,8</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4932,2</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развитие фундаментальной астрономо-геодезической сети, высокоточной геодезической сети, фундаментальной гравиметрической сети и государственной гравиметрической сети 1 класса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обслуживаемых пунктов фундаментальной астрономо-геодезической сети,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функций по государственному кадастровому учету, государственной </w:t>
            </w:r>
            <w:r>
              <w:rPr>
                <w:rFonts w:ascii="Calibri" w:hAnsi="Calibri" w:cs="Calibri"/>
              </w:rPr>
              <w:lastRenderedPageBreak/>
              <w:t>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951,9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1747,1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1883,5</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развитие фундаментальной астрономо-геодезической сети, высокоточной геодезической сети, фундаментальной гравиметрической сети и государственной гравиметрической сети 1 класса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обслуживаемых пунктов высокоточной геодезической сети,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3665,7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4405,8</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3743,0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развитие фундаментальной астрономо-геодезической сети, высокоточной геодезической сети, фундаментальной гравиметрической сети и государственной гравиметрической сети 1 класса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обслуживаемых пунктов фундаментальной гравиметрической сети,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5932,6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6478,9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7135,9</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развитие фундаментальной астрономо-геодезической сети, высокоточной геодезической сети, фундаментальной гравиметрической сети и государственной гравиметрической сети 1 класса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пунктов региональных, муниципальных и частных сетей, интегрированных в спутниковую сеть,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2314,4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2579,4</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Ведение портала точных "быстрых" эфемерид орбитальной группировки ГЛОНАСС на основе анализа и обработки измерений, выполненных на постоянно действующих пунктах фундаментальной астрономо-геодезической сети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обращений на портал для получения данных о точных эфемеридах спутников ГЛОНАСС,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9937,4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10877,4</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работ, связанных с обеспечением службы контроля деформации земной поверхности, входящей в федеральную систему сейсмологических наблюдений и </w:t>
            </w:r>
            <w:r>
              <w:rPr>
                <w:rFonts w:ascii="Calibri" w:hAnsi="Calibri" w:cs="Calibri"/>
              </w:rPr>
              <w:lastRenderedPageBreak/>
              <w:t>прогноза землетрясений, в том числе геодинамических исследований на базе геодезических и космических измерений в целях создания и ведения каталогов и карт скоростей изменения деформации земной поверхности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мониторинга (геодинамические полигоны),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2484,2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3129,9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3426,1</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Сбор и обобщение информации об установлении или изменении прохождения государственной границы Российской Федерации, границ субъектов Российской Федерации, границ муниципальных образований, а также об изменении или уточнении прохождения государственной границы Российской Федерации на месте при проверке государственной границы Российской Федерации; редакционно-контрольный просмотр правильности отображения прохождения границы Российской Федерации на картографических материалах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Протяженность линии границ, по которым ведутся работы, км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функций по государственному кадастровому учету, государственной </w:t>
            </w:r>
            <w:r>
              <w:rPr>
                <w:rFonts w:ascii="Calibri" w:hAnsi="Calibri" w:cs="Calibri"/>
              </w:rPr>
              <w:lastRenderedPageBreak/>
              <w:t>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факту</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факту</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факту</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4846,9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4694,3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8132,1</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Сбор и обобщение информации об установлении или изменении прохождения государственной границы Российской Федерации, границ субъектов Российской Федерации, границ муниципальных образований, а также об изменении или уточнении прохождения государственной границы Российской Федерации на месте при проверке государственной границы Российской Федерации; редакционно-контрольный просмотр правильности отображения прохождения границы Российской Федерации на картографических материалах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обеспечиваемых российских делегаций,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факту</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факту</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 факту</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2776,5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896,1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4053,9</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подготовке проектов нормативно-технических документов и документов по стандартизации в области геодезической, картографической деятельности и инфраструктуры пространственных данных, устанавливающих порядок организации работ в этой области, технические требования к ним, нормы и правила их выполнения, а также в установленном порядке функций Центрального отраслевого органа научно-технической информации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нормативно-технических документов (НТД) в области геодезии,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9132,8</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9982,7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11004,9</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подготовке проектов нормативно-технических документов и документов по стандартизации в области геодезической, картографической деятельности и инфраструктуры пространственных данных, устанавливающих порядок организации работ в этой области, технические требования к ним, нормы и правила их выполнения, а также в установленном порядке функций Центрального отраслевого органа научно-технической информации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НТД в области картографии, в том числе в сфере использования ДЗЗ,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5784,2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7333,8</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8030,7</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подготовке проектов нормативно-технических документов и документов по стандартизации в области геодезической, картографической деятельности и инфраструктуры пространственных данных, устанавливающих порядок организации работ в этой области, технические требования к ним, нормы и правила их выполнения, а также в установленном порядке функций Центрального отраслевого органа научно-технической информации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НТД в области инфраструктуры пространственных данных Российской Федерации,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2626,1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4936,2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5332,9</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связанных с обеспечением функций метрологической службы, в области геодезии, картографии и инфраструктуры пространственных данных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поверенных эталонов (включая геодезические, гравиметрические и ДЗЗ полигоны),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5064,0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7456,9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8151,3</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связанных с обеспечением функций метрологической службы, в области геодезии, картографии и инфраструктуры пространственных данных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поверенных рабочих средств измерений,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"Создание благоприятных условий для </w:t>
            </w:r>
            <w:r>
              <w:rPr>
                <w:rFonts w:ascii="Calibri" w:hAnsi="Calibri" w:cs="Calibri"/>
              </w:rPr>
              <w:lastRenderedPageBreak/>
              <w:t>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"Обеспечение функций по государственному кадастровому учету, государственной регистрации прав и картографии"</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5702,3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5432,2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5849,8</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изобретения, полезной модели, промышленного образца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на выдачу патента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и принятых решений по их результатам,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патентов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26" w:name="Par9515"/>
            <w:bookmarkEnd w:id="326"/>
            <w:r>
              <w:rPr>
                <w:rFonts w:ascii="Calibri" w:hAnsi="Calibri" w:cs="Calibri"/>
              </w:rPr>
              <w:t>Подпрограмма "Стимулирование инноваций"</w:t>
            </w:r>
          </w:p>
        </w:tc>
        <w:tc>
          <w:tcPr>
            <w:tcW w:w="8691" w:type="dxa"/>
            <w:gridSpan w:val="6"/>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w:t>
            </w:r>
            <w:r>
              <w:rPr>
                <w:rFonts w:ascii="Calibri" w:hAnsi="Calibri" w:cs="Calibri"/>
              </w:rPr>
              <w:lastRenderedPageBreak/>
              <w:t>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59700,00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61000,00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1320685,60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1382000,60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1382553,30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59200,00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44700,00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45200,00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45700,00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3 050,00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3 100,00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товарного знака, знака обслуживания, наименования места происхождения товара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принятых решений по их результатам,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8691" w:type="dxa"/>
            <w:gridSpan w:val="6"/>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56100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412499,20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431530,40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431697,10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48900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49300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49700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27200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государственной регистрацией программы для электронных вычислительных машин, базы данных и топологии интегральных микросхем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к рассмотрению заявок,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рассмотренных заявок и принятых решений по результатам рассмотрения,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64930,30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67925,90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67952,10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12230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12625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13025</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аттестации и регистрации патентных поверенных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квалификационных экзаменов на необходимые знания и навыки их практического применения кандидатом в патентные поверенные,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w:t>
            </w:r>
            <w:r>
              <w:rPr>
                <w:rFonts w:ascii="Calibri" w:hAnsi="Calibri" w:cs="Calibri"/>
              </w:rPr>
              <w:lastRenderedPageBreak/>
              <w:t>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599,60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627,90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635,50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Работы по формированию государственного патентного фонда на различных носителях, библиотечному, библиографическому, справочно-информационному, научно-методическому обслуживанию на базе государственного патентного фонда и единой системы автоматизированных банков данных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государственного патентного фонда в соответствующих единицах измерения, тыс.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документов из государственного патентного фонда, тыс.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запросов в автоматизированные банки данных, тыс.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116995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119814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122633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170610,90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179032,90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179139,70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30700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26200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Ведение Единого реестра результатов интеллектуальной деятельности военного, специального и двойного назначения, права на которые принадлежат Российской </w:t>
            </w:r>
            <w:r>
              <w:rPr>
                <w:rFonts w:ascii="Calibri" w:hAnsi="Calibri" w:cs="Calibri"/>
              </w:rPr>
              <w:lastRenderedPageBreak/>
              <w:t>Федерации, и реестра выданных лицензий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включенных в Единый реестр результатов интеллектуальной деятельности,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регистрационных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лицензий, переданных иностранным государствам на производство продукции военного назначения, включенных в реестр,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40401,20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41089,10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41181,90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экспертизы лицензионных договоров в части вопросов обеспечения правовой защиты интересов государства в отношении результатов деятельности военного, специального и двойного назначения, принадлежащих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экспертиз,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w:t>
            </w:r>
            <w:r>
              <w:rPr>
                <w:rFonts w:ascii="Calibri" w:hAnsi="Calibri" w:cs="Calibri"/>
              </w:rPr>
              <w:lastRenderedPageBreak/>
              <w:t>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53868,10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54785,40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54909,30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в комиссиях по обязательной и инициативной инвентаризации прав на результаты научно-технической деятельности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услуги (работы):</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инвентаризаций,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w:t>
            </w:r>
            <w:r>
              <w:rPr>
                <w:rFonts w:ascii="Calibri" w:hAnsi="Calibri" w:cs="Calibri"/>
              </w:rPr>
              <w:lastRenderedPageBreak/>
              <w:t>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40401,20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41089,10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41181,90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отбора специалистов и их стажировок в ведущих организациях и за рубежом, в том числе в рамках взаимных обменов</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прошедших стажировки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27" w:name="Par9811"/>
            <w:bookmarkEnd w:id="327"/>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не менее 5 000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5939,20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6209,12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6227,02</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Сопровождение обучения сотрудников иностранных организаций в образовательных учреждениях и их стажировки в ведущих организациях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сотрудников иностранных организаций, прошедших обучение и стажировки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"Организация и проведение зарубежных стажировок российских специалистов в рамках взаимных обменов с иностранными </w:t>
            </w:r>
            <w:r>
              <w:rPr>
                <w:rFonts w:ascii="Calibri" w:hAnsi="Calibri" w:cs="Calibri"/>
              </w:rPr>
              <w:lastRenderedPageBreak/>
              <w:t>государствами, целевых проектных стажировок на основе конкурсного отбора проектов, стажировок иностранных специалистов на российских предприятиях, внутрироссийских стажировок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2957,66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3033,87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3051,77</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конференций, семинаров и иных мероприятий по оценке эффективности Программы и распространению опыта ее реализации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семинаров, конференций, публикаций в средствах массовой информации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специалистов на российских предприятиях, внутрироссийских стажировок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2957,66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3033,87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3051,76</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"Кадры для </w:t>
            </w:r>
            <w:r>
              <w:rPr>
                <w:rFonts w:ascii="Calibri" w:hAnsi="Calibri" w:cs="Calibri"/>
              </w:rPr>
              <w:lastRenderedPageBreak/>
              <w:t>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"Повышение качества образовательных программ и контроль качества подготовки специалистов"</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3 271,70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3 404,70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3 423,40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прикладных научных исследований (СОПС, ИМЭИ)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28" w:name="Par9883"/>
            <w:bookmarkEnd w:id="328"/>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51319,90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 рамках тематического плана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51319,90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основных профессиональных образовательных программ послевузовского профессионального образования (аспирантура), очно-заочная (вечерняя) форма обучения (СОПС)</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обучающихся по каждой форме обучения</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29" w:name="Par9933"/>
            <w:bookmarkEnd w:id="329"/>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16521732</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16600639</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16671545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7208833,50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7471717,00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7503631,20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государственного кадастрового учета, в том числе ведение государственного кадастра недвижимости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учетных действий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"Создание благоприятных условий для развития рынка </w:t>
            </w:r>
            <w:r>
              <w:rPr>
                <w:rFonts w:ascii="Calibri" w:hAnsi="Calibri" w:cs="Calibri"/>
              </w:rPr>
              <w:lastRenderedPageBreak/>
              <w:t>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2973014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3258880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3272799</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180731,40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187108,30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187907,50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сведений, внесенных в государственный кадастр недвижимости, по запросам о предоставлении сведений, без взимания платы</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без взимания платы документов, в виде которых предоставляются сведения, содержащиеся в государственном кадастре недвижимости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2425735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2735835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2747520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794986,10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822015,00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825526,10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учет зданий, сооружений, помещений, объектов незавершенного строительства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учетных действий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8332806</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10158853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10202244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289122,80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299583,50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300863,10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сведений из Единого государственного реестра объектов капитального строительства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документов, в виде которых предоставляются сведения, содержащиеся в Едином государственном реестре объектов капитального строительства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20601647</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26477367</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26590461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926013,30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959718,30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963817,60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государственную регистрацию прав на недвижимое имущество и сделок с ним, выдача документов после проведения государственной регистрации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принятых/выданных пакетов документов</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"Создание благоприятных условий для развития рынка недвижимости"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16268720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18574050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18653383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744583,40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771558,90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774854,40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Прием документов на предоставление сведений из Единого государственного реестра прав на недвижимое имущество и сделок с ним, выдача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запросов/выданных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30" w:name="Par10041"/>
            <w:bookmarkEnd w:id="330"/>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59700,00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61000,00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1320685,60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1382000,60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1382553,30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58600,00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59200,00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44700,00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45200,00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45700,00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3050,00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изобретения, полезной модели, промышленного образца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на выдачу патента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и принятых решений по их результатам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патентов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56100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56500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412499,20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431530,40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431697,10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48900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49300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49700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27200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27400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правовой охраной товарного знака, знака обслуживания, наименования места происхождения товара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заявок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принятых решений по их результатам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договоров и сделок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"Стимулирование </w:t>
            </w:r>
            <w:r>
              <w:rPr>
                <w:rFonts w:ascii="Calibri" w:hAnsi="Calibri" w:cs="Calibri"/>
              </w:rPr>
              <w:lastRenderedPageBreak/>
              <w:t>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64930,30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67925,90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67952,10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12230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12625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13025</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юридически значимых действий, связанных с государственной регистрацией программы для электронных вычислительных машин, базы данных и топологии интегральных микросхем</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принятых к рассмотрению заявок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рассмотренных заявок и принятых решений по результатам рассмотрения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w:t>
            </w:r>
            <w:r>
              <w:rPr>
                <w:rFonts w:ascii="Calibri" w:hAnsi="Calibri" w:cs="Calibri"/>
              </w:rPr>
              <w:lastRenderedPageBreak/>
              <w:t>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599,60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627,90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635,50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подготовительных работ для осуществления аттестации и регистрации патентных поверенных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квалификационных экзаменов на необходимые знания и навыки их практического применения кандидатом в патентные поверенные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116995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119814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122633</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170610,90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179032,90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179139,70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30700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31400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25600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26200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Работы по формированию государственного патентного фонда на различных носителях, библиотечному, библиографическому, справочно-информационному, научно-методическому обслуживанию на базе государственного патентного фонда и единой системы автоматизированных банков данных</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Объем государственного патентного фонда в соответствующих единицах измерения (тыс. </w:t>
            </w:r>
            <w:r>
              <w:rPr>
                <w:rFonts w:ascii="Calibri" w:hAnsi="Calibri" w:cs="Calibri"/>
              </w:rPr>
              <w:lastRenderedPageBreak/>
              <w:t>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документов из государственного патентного фонда (тыс.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запросов в автоматизированные банки данных (тыс.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40401,20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41089,10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41181,90</w:t>
            </w: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2600,00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Ведение Единого реестра результатов интеллектуальной деятельности военного, специального и двойного назначения, права на которые принадлежат Российской Федерации и реестра выданных лицензий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включенных в Единый реестр результатов интеллектуальной деятельности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регистрационных свидетельств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лицензий, переданных иностранным государствам на производство продукции военного назначения, включенных в реестр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w:t>
            </w:r>
            <w:r>
              <w:rPr>
                <w:rFonts w:ascii="Calibri" w:hAnsi="Calibri" w:cs="Calibri"/>
              </w:rPr>
              <w:lastRenderedPageBreak/>
              <w:t>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53868,10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54785,40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54909,30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Проведение экспертизы лицензионных договоров в части вопросов обеспечения правовой защиты интересов государства в отношении результатов деятельности военного, специального и двойного назначения, принадлежащих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экспертиз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инноваций"</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"Предоставление государственных услуг в сфере правовой охраны объектов интеллектуальной собственности, совершенствование их процедур и повышение эффективности правовой защиты интересов государства при использовании результатов НИОКТР военного, специального и двойного </w:t>
            </w:r>
            <w:r>
              <w:rPr>
                <w:rFonts w:ascii="Calibri" w:hAnsi="Calibri" w:cs="Calibri"/>
              </w:rPr>
              <w:lastRenderedPageBreak/>
              <w:t>назначения"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40401,20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41089,10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41181,90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работы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в комиссиях по обязательной и инициативной инвентаризации прав на результаты научно-технической деятельности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объема работ:</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инвентаризаций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31" w:name="Par10353"/>
            <w:bookmarkEnd w:id="331"/>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"Подготовка не менее 5 000 управленцев ежегодно (обучение в форме профессиональной переподготовки и повышения квалификации) в образовательных учреждениях, поэтапное увеличение количества специалистов, обучающихся по проектно-ориентированным программам, с применением современных образовательных технологий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5450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5939,20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6209,12</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6227,02</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отбора специалистов и их стажировок в ведущих организациях и за рубежом, в том числе в рамках взаимных обменов</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прошедших стажировки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"Организация и проведение зарубежных стажировок российских специалистов в рамках взаимных обменов с иностранными </w:t>
            </w:r>
            <w:r>
              <w:rPr>
                <w:rFonts w:ascii="Calibri" w:hAnsi="Calibri" w:cs="Calibri"/>
              </w:rPr>
              <w:lastRenderedPageBreak/>
              <w:t>государствами, целевых проектных стажировок на основе конкурсного отбора проектов, стажировок иностранных специалистов на российских предприятиях, внутрироссийских стажировок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2957,66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3033,87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3051,77</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Сопровождение обучения сотрудников иностранных организаций в образовательных учреждениях и их стажировки в ведущих организациях Российской Федерации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сотрудников иностранных организаций, прошедших обучение и стажировки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"Кадры для 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"Организация и проведение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специалистов на российских предприятиях, внутрироссийских стажировок и др."</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2957,66</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3033,87</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3051,76</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конференций, семинаров и иных мероприятий по оценке эффективности Программы и распространению опыта ее реализации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семинаров, конференций, публикаций в средствах массовой информации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"Кадры для </w:t>
            </w:r>
            <w:r>
              <w:rPr>
                <w:rFonts w:ascii="Calibri" w:hAnsi="Calibri" w:cs="Calibri"/>
              </w:rPr>
              <w:lastRenderedPageBreak/>
              <w:t>инновационной экономики"</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"Повышение качества образовательных программ и контроль качества подготовки специалистов"</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3271,70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3404,70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3423,40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ед.</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outlineLvl w:val="2"/>
              <w:rPr>
                <w:rFonts w:ascii="Calibri" w:hAnsi="Calibri" w:cs="Calibri"/>
              </w:rPr>
            </w:pPr>
            <w:bookmarkStart w:id="332" w:name="Par10425"/>
            <w:bookmarkEnd w:id="332"/>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51319,90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46911,70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прикладных научных исследований (СОПС, ИМЭИ)</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51 319,90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46 911,70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фундаментальных научных исследований</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 рамках тематического плана</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"Совершенствование системы государственного стратегического управления"</w:t>
            </w: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333"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56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"Научно-аналитическое обеспечение развития стратегического планирования и прогнозирования"</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c>
          <w:tcPr>
            <w:tcW w:w="156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966,70</w:t>
            </w:r>
          </w:p>
        </w:tc>
      </w:tr>
      <w:tr w:rsidR="00C65754">
        <w:tblPrEx>
          <w:tblCellMar>
            <w:top w:w="0" w:type="dxa"/>
            <w:bottom w:w="0" w:type="dxa"/>
          </w:tblCellMar>
        </w:tblPrEx>
        <w:trPr>
          <w:tblCellSpacing w:w="5" w:type="nil"/>
        </w:trPr>
        <w:tc>
          <w:tcPr>
            <w:tcW w:w="2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w:t>
            </w:r>
          </w:p>
        </w:tc>
        <w:tc>
          <w:tcPr>
            <w:tcW w:w="8691" w:type="dxa"/>
            <w:gridSpan w:val="6"/>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основных профессиональных образовательных программ послевузовского профессионального образования (аспирантура) очно-заочная (вечерняя) форма обучения (СОПС)</w:t>
            </w:r>
          </w:p>
        </w:tc>
      </w:tr>
      <w:tr w:rsidR="00C65754">
        <w:tblPrEx>
          <w:tblCellMar>
            <w:top w:w="0" w:type="dxa"/>
            <w:bottom w:w="0" w:type="dxa"/>
          </w:tblCellMar>
        </w:tblPrEx>
        <w:trPr>
          <w:tblCellSpacing w:w="5" w:type="nil"/>
        </w:trPr>
        <w:tc>
          <w:tcPr>
            <w:tcW w:w="283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w:t>
            </w:r>
          </w:p>
        </w:tc>
        <w:tc>
          <w:tcPr>
            <w:tcW w:w="8691" w:type="dxa"/>
            <w:gridSpan w:val="6"/>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обучающихся по каждой форме обучения</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F9399E" w:rsidRDefault="00F9399E">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333" w:name="Par10484"/>
      <w:bookmarkEnd w:id="333"/>
      <w:r>
        <w:rPr>
          <w:rFonts w:ascii="Calibri" w:hAnsi="Calibri" w:cs="Calibri"/>
        </w:rPr>
        <w:lastRenderedPageBreak/>
        <w:t>Приложение 6</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334" w:name="Par10486"/>
      <w:bookmarkEnd w:id="334"/>
      <w:r>
        <w:rPr>
          <w:rFonts w:ascii="Calibri" w:hAnsi="Calibri" w:cs="Calibri"/>
        </w:rPr>
        <w:t>РЕСУРСНОЕ ОБЕСПЕЧЕНИЕ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ЗА СЧЕТ СРЕДСТВ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(ТЫС. РУБ.)</w:t>
      </w:r>
    </w:p>
    <w:p w:rsidR="00C65754" w:rsidRPr="00F9399E" w:rsidRDefault="00C65754">
      <w:pPr>
        <w:widowControl w:val="0"/>
        <w:autoSpaceDE w:val="0"/>
        <w:autoSpaceDN w:val="0"/>
        <w:adjustRightInd w:val="0"/>
        <w:spacing w:after="0" w:line="240" w:lineRule="auto"/>
        <w:jc w:val="both"/>
        <w:rPr>
          <w:rFonts w:ascii="Calibri" w:hAnsi="Calibri" w:cs="Calibri"/>
          <w:sz w:val="18"/>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Статус   │ Наименование  │  Ответственный   │      Код бюджетной       │                                          Объем расходов (тыс. руб.)</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   исполнитель,   │      классификации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программы,   │  соисполнители,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подпрограммы  │ государственный  │ ГРБС │Рз Пр│  ЦСР  │ ВР  │    2013     │    2014    │    2015     │    2016     │    2017     │    2018    │    2019     │     2020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    заказчик-     │      │     │       │     │(федеральный │(федеральный│(федеральный │(федеральный │(федеральный │(федеральный│(федеральный │ (федеральный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программы,   │   координатор    │      │     │       │     │   бюджет)   │  бюджет)   │   бюджет)   │   бюджет)   │   бюджет)   │  бюджет)   │   бюджет)   │   бюджет)</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федеральной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целевой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программы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(подпрограммы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федеральной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целевой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программы),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ведомственной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целевой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программы,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основного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  мероприятия  │                  │      │     │       │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w:t>
      </w:r>
    </w:p>
    <w:p w:rsidR="00C65754" w:rsidRPr="00F9399E" w:rsidRDefault="00C65754">
      <w:pPr>
        <w:pStyle w:val="ConsPlusCell"/>
        <w:rPr>
          <w:rFonts w:ascii="Courier New" w:hAnsi="Courier New" w:cs="Courier New"/>
          <w:sz w:val="12"/>
          <w:szCs w:val="16"/>
        </w:rPr>
      </w:pPr>
      <w:bookmarkStart w:id="335" w:name="Par10510"/>
      <w:bookmarkEnd w:id="335"/>
      <w:r w:rsidRPr="00F9399E">
        <w:rPr>
          <w:rFonts w:ascii="Courier New" w:hAnsi="Courier New" w:cs="Courier New"/>
          <w:sz w:val="12"/>
          <w:szCs w:val="16"/>
        </w:rPr>
        <w:t xml:space="preserve"> Государст-   Экономическое   всего, в том числе   X      X      X      X    131605530,4  147778449,8   134855765,7  139956810,52  144245446,42  145411980,04 151578339,68   167159924,94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венная       развитие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программа    инновационная   действующие          X      X      X      X    124826018,3  129856089,3   119278028,8  117254890,02  118216870,32  117398376,34 115777964,38   115782877,74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экономика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6779512,1    17922360,5   15577736,9    22701920,5    26028576,1    28013603,7   35800375,3     51377047,2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35736601,4    51979974,8   40204093,6    37035291,9    37412916,3    36106774,8   36149744,9      36194579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30716451,4    38668920,1   34056258,8    25416221,9    25761846,3    24422704,8   24431674,9      24440509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X      X      X      502015      13311054,7    6147834,8     11619070      11651070      11684070     11718070       11754070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28573300      25275000     19217923      15082958      14736937      13619967     13327111       13738100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092     X      X      X     28573300      25275000     19217923      15082958      12589616      10921290     10576020       10934164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092     X      X      X         -            -             -             -          2147321      2698677       2751091       2803936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Минкомсвязь         071     X      X      X      3000000       80000        115400        137200        349900        372600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071     X      X      X      3000000       80000        115400        137200        349900        372600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071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Миноборнауки        074     X      X      X      2935000      2339300       2283000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074     X      X      X      2935000      2339300       2283000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074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ФАС России          161     X      X      X     2121808,5     2037863      2048536,2     1966429,2     2045431,5    2126572,8      2208489      2289251,3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ФСТ России          307     X      X      X     721501,4      696091,8     699486,8      713146,2      733932,4      755281,4     776808,5       798039,2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Росстат             157     X      X      X    12729653,3    14499564,5   18541940,7    29547588,1     18927114     18530669,4   23425368,7     46864634,4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157     X      X      X    11970291,2    12235112,7   12150413,8    24457711,5    14687111,9    14887129,2   15078579,7      26027167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X      X      X     759362,1     2264451,8     6391526,9     5089876,6     4240002,1    3643540,2      8346789      20837467,4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Росреестр всего, в  321     X      X      X    37211860,6    40149750,9    39206217     40072176,9    50791913,3    52553496,9   52624599,5     43717592,2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321     X      X      X    37211860,6    40149750,9    39206217     40072176,9    50791913,3    52553496,9   52624599,5     43717592,2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321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Росимущество         X      X      X      X                    50000         57670        100200        800510       1016527       1247912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X      X      X      X                    50000         57670        100200        800510       1016527       1247912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ФНС России, всего    X      X      X      X                    322500       358430        405533        2639763      2085535       1404223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X      X      X      X                    322500       358430        405533        2639763      2085535       1404223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ФТС России          153     X      X      X      800000       1240000       2412000       2216000       957140       1230940       250000         250000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Федеральная служба  165     X      X      X      443649       353448,9     258777,3      121303,7      123411,2      125573,8     127693,4       129805,9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 аккредитации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Роспатент, всего,   168     X      X      X     2329911,7    2752286,6     2412291,1    2558983,52    2726477,72    2888041,94   3036389,68     3177922,94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168     X      X      X     2329911,7    2405432,6     2410797,1    2557489,52    2724983,72    2886547,94   3034895,68     3176428,94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168     X      X      X         -          346854        1494          1494          1494          1494         1494           1494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Федеральное         226     X      X      X     5002244,5    6002669,3      7040000      10000000      12000000      14000000     17000000       20000000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бюджетное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учреждение "Фонд</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содействия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развитию малых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форм предприятий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научно-технической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226     X      X      X     4002244,5    4002669,3     4003118,8     4008520,1      4011311     4014177,5     4017068,7     4019920,2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226     X      X      X      1000000      2000000      3036881,2     5991479,9      7988689     9985822,5    12982931,3     15980079,8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36" w:name="Par10638"/>
      <w:bookmarkEnd w:id="336"/>
      <w:r w:rsidRPr="00F9399E">
        <w:rPr>
          <w:rFonts w:ascii="Courier New" w:hAnsi="Courier New" w:cs="Courier New"/>
          <w:sz w:val="12"/>
          <w:szCs w:val="16"/>
        </w:rPr>
        <w:t xml:space="preserve"> Подпрограмм  Формирование    всего, в том числе   X      X      X      X     12325885     19770503,2   13004828,6     9736099,7     10184102     8950243,3     9066159,5     9182921,8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            благоприятной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инвестиционной  действующие          X      X      X      X      9825885     16862448,5   12259993,8     9060029,7      9476032     8209173,3     8291089,5     8371851,8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среды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2500000     2908054,7     744834,8       676070        708070        741070       775070         811070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10204076,5    17732640,2   10956292,4     7769670,5     8138670,5    6823670,5     6857670,5     6893670,5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7704076,5    14824585,5   10211457,6     7093600,5     7430600,5    6082600,5     6082600,5     6082600,5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X      X      X      2500000     2908054,7     744834,8       676070        708070        741070       775070         811070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ФАС России          161     X      X      X     2121808,5     2037863      2048536,2     1966429,2     2045431,5    2126572,8      2208489      2289251,3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Минэкономразвития   139     X      X      X      48200,5      208435,2     116215,3       48200,5       48200,5      48200,5       48200,5       48200,5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благоприятных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условий для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привлечения     действующие         139   0113  0300400  244     48200,5      48200,5       48200,5       48200,5       48200,5      48200,5       48200,5       48200,5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инвестиций в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экономику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       дополнительные      139     X      X      X         -         160234,7      68014,8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Совершенствован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ие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корпоративного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Повышение       Минэкономразвития   139     X      X      X         -          47820         46820         46070         46070        46070         46070         46070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качества оценки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регулирующего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воздействия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проектов        действующие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нормативных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правовых актов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их проектов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&lt;**&gt;            дополнительные      139   0113           242        -          47820         46820         46070         46070        46070         46070         46070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Развитие особых Минэкономразвития   139     X      X      X      5352600      14240300      9521700       6034400       6034400      6034400       6034400       6034400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экономических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зон                                 139   0412  3400203  450                  12068800      6034400       6034400       6034400      6034400       6034400       6034400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139   0412  3400209  450     5000000         -             -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139   0412  0921000  810     352600       2171500       3487300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Минэкономразвития   139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благоприятной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конкурентной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среды</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Совершенство-   ФАС России         Всего    X      X      X     2121808,5     2037863      2048536,2     1966429,2     2045431,5    2126572,8      2208489      2289251,3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вание контроля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 применением                      161   0401     X      X       15000        15000         15000        16665,8       17438,2      18230,9       19017,5       19797,9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антимонопольно-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 законода-                        161   0705  4289900  621      15000        15000         15000        16665,8       17438,2      18230,9       19017,5       19797,9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X      X      X     2106808,5     2022863      2033536,2     1949763,4     2027993,3    2108341,9     2189471,5     2269453,4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161   0401  0010400  121    358790,9      373390,2     373390,2      416705,5      437016,2      457879,8     479044,8       499875,5</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161   0401  0010400  122     6856,5         6968         6968         7288,5        7367,8        7449,2       7528,9         7608,4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161   0401  0010400  242     142641       95091,7        61752        64483,6       64483,6      64483,6       64483,6       64483,6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161   0401  0010400  244    154853,6      129578,9     129578,9       159158       162552,9      166036,8     169451,5       172854,3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161   0401  0010400  831      74,6          74,6         74,6          74,6          74,6          74,6         74,6           74,6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161   0401  0010400  851     7021,2        7021,2       7021,2        7021,2        7021,2        7021,2       7021,2         7021,2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161   0401  0010400  852      226,7        226,7         226,7         15,3          15,3          15,3         15,3           15,3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161   0401  0010800  244      184,5        184,5         184,5         175,3         175,3        175,3         175,3         175,3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161   0411  0816900  241     13001,7      13001,7       13001,7       12351,6       12351,6      12351,6       12351,6       12351,6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161   0401  0011500  121    1035201,8    1069084,2     1069084,2     967113,6      1014251,6    1062673,2     1111793,9     1160138,8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161   0401  0011500  122     36268,3      36348,5       36522,7       24191,6       24191,6      24191,6       24191,6       24191,6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161   0401  0011500  242     66694,5      66694,5       67259,1        436,1         436,1        436,1         436,1         436,1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161   0401  0011500  244    279871,6      220076,7     263350,8      285976,9      293283,9       300782      308131,5       315455,5</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161   0401  0011500  831     1128,3        1128,3       1128,3        1128,3        1128,3        1128,3       1128,3         1128,3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161   0401  0011500  851     3543,1        3543,1       3543,1        3543,1        3543,1        3543,1       3543,1         3543,1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161   0401  0011500  852      450,2        450,2         450,2         100,2         100,2        100,2         100,2         100,2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ФАС России          161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условий для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эффективной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политики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области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контроля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иностранных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инвестиций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хозяйствующие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общества,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имеющие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стратегическое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значение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Минэкономразвития   139   0113  0300300  244     2235600       295680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проекта МБРР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"Поддержка                          139   0113  0300301  244     648000        85800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судебной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реформы"                            139   0113  0300302  244     1587600       209880          -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Минэкономразвития   139   0113  0300300  244      67676        240405      641557,10      1011000       1348000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проекта МБРР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"Содействие                         139   0113  0300301  244      10994        124245      320738,40      505500        674000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созданию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развитию особых                     139   0113  0300302  244      56682        116160      320818,70      505500        674000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экономических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зон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"Формирование и Минэкономразвития   139   0113                   2500000      2700000       630000        630000        662000        695000       729000         765000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развитие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федеральной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контрактной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системы"        действующие         139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0113           242     2500000      2700000       630000        630000        662000        695000       729000         765000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37" w:name="Par10782"/>
      <w:bookmarkEnd w:id="337"/>
      <w:r w:rsidRPr="00F9399E">
        <w:rPr>
          <w:rFonts w:ascii="Courier New" w:hAnsi="Courier New" w:cs="Courier New"/>
          <w:sz w:val="12"/>
          <w:szCs w:val="16"/>
        </w:rPr>
        <w:t xml:space="preserve"> Подпрограм-  Развитие малого Минэкономразвития,  139     X      X      X     21845000      23040000     23040000      23040000      23040000      23040000     23040000       23040000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и среднего      всего, в том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предпринима-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21845000      23040000     23040000      17500000      17500000      17500000     17500000       17500000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0412  3450100  521        -            -             -          5540000       5540000      5540000       5540000       5540000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21845000      23040000     23040000      17500000      17500000      17500000     17500000       17500000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Федеральная     Минэкономразвития,  139     X      X      X     21845000      23040000     23040000      23040000      23040000      23040000     23040000       23040000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финансовая      всего, в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поддержки       действующие         139     X      X      X     21845000      23040000     23040000      17500000      17500000      17500000     17500000       17500000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малого и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среднего пред-  обязательства       139   0412  3450100  521    20045000      21140000     21140000      15600000      15600000      15600000     15600000       15600000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принимательства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139   0412  1020101  522     1800000      1900000       1900000       1900000       1900000      1900000       1900000       1900000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0412  3450100  521        -            -             -          5540000       5540000      5540000       5540000       5540000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Совершенствова-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ние нормативно-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малого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среднего пред-</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принимательства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38" w:name="Par10816"/>
      <w:bookmarkEnd w:id="338"/>
      <w:r w:rsidRPr="00F9399E">
        <w:rPr>
          <w:rFonts w:ascii="Courier New" w:hAnsi="Courier New" w:cs="Courier New"/>
          <w:sz w:val="12"/>
          <w:szCs w:val="16"/>
        </w:rPr>
        <w:t xml:space="preserve"> Подпрограм-  Создание        всего, в том числе   X      X      X      X    37211860,6    38602250,9    37237717     37215109,9    39029635,4    40589322,9   42164711,2     43717592,2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благоприятных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условий для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развития рынка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недвижимости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Росреестр           321     X      X      X    37211860,6    38602250,9    37237717     37215109,9    39029635,4    40589322,9   42164711,2     43717592,2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Обеспечение     всего               321     X      X      X     35673638     36273085,4   36221706,1    36199099,1    38013624,5    39573312,1   41148700,3     42701581,4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функций по 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сударственному  Росреестр           321   0108  1539999  862     2080,1        2144,3       2202,1        2240,6         2272         2407,5        2491          2561,6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кадастровому</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учету,                              321   0411  1530019  241      15857       20574,2       20574,2       20574,2        21657        21657         21657         21657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регистрации                         321   0412  1530011  121    241593,6      490089,8     490089,8      490089,8      503601,5      527644,1     552033,8       576038,3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картографии                         321   0412  1530011  122      25440         7240         7275          7275          7348          7386        7423,20         7460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321   0412  1530012  121    15213339     15644143,3   14758156,8    14758156,9    16300839,3    17688682,9   19094857,3      20479424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321   0412  1530012  122     119000       109979,4     114629,4      114529,4       105769       107667,8      109529        111383,8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321   0412  1530019  242    2154694,8    2082539,6     2126935,4     2126935,4     2165411,6    2214793,2     2263195,5     2311430,6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321   0412  1530019  243     52546,7       145250       145250        145250        145250        145250       145250         145250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321   0412  1530019  244    4866184,7    4173428,2      4257712       4257712      4325806,1    4422072,3     4516429,6      4610461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831        -           2850           -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321   0412  1530019  851    257386,6      244517,3     244517,3      244517,3      257386,6      257386,6     257386,6       257386,6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321   0412  1530019  852     33280,7      19635,6       19730,6       19825,6       33280,7      33280,7       33280,7       33280,7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321   0412  1530059  611   10252394,5    12903382,3   13292025,3    13292025,3    13563291,1    13563291,1   13563291,1     13563291,1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0412  1530059  612    2344931,6     367311,4     330426,9      330426,8      521711,6      521792,9     521875,5       521956,7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321   0412  1533987  122      60000        60000         60000         60000         60000        60000         60000         60000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1534009  414     34908,7         -         352181,3      322869,3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321   0412  1534009  464        -            -             -          6671,5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Институциональ- всего               321     X      X      X       19174       166937,8     412213,3      412213,2      412213,3      412213,2     412213,3       412213,2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ное развитие в  Росреестр</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                               321   0412  1530019  244      19174       166937,8     412213,3      412213,2      412213,3      412213,2     412213,3       412213,2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земельными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ресурсами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Развитие        всего               321     X      X      X     1108385,1     621318,7     603797,6      603797,6      603797,6      603797,6     603797,6       603797,6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инфраструктуры  Росреестр</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пространствен-                      321   0412  1530019  244    1108385,1     621318,7     603797,6      603797,6      603797,6      603797,6     603797,6       603797,6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ных данных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всего               321     X      X      X     410663,5      1540909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проекта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Международного                      321   0412  1532795  244    213810,8      736737,2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банка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реконструкции и                     321   0412  1532796  244    196852,7      804171,8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системы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регистрации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недвижимость"</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Совершенствова- всего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мероприятие  ние нормативно-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регулирования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сферах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земельных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отношений,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кадастрового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учета,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регистрации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недвижимое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имущество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сделок с ним,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геодезии,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картографии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инфраструктуры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пространствен-</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ных данных</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39" w:name="Par10909"/>
      <w:bookmarkEnd w:id="339"/>
      <w:r w:rsidRPr="00F9399E">
        <w:rPr>
          <w:rFonts w:ascii="Courier New" w:hAnsi="Courier New" w:cs="Courier New"/>
          <w:sz w:val="12"/>
          <w:szCs w:val="16"/>
        </w:rPr>
        <w:t xml:space="preserve"> Подпрограм-  Совершенствова- всего, в том числе   X      X      X      X      3346649     5756448,9     661777,3      524303,7      526411,2      528573,8     530693,4       532805,9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ние государст-</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венного и       действующие          X      X      X      X      826499       353448,9     258777,3      121303,7      123411,2      125573,8     127693,4       129805,9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муниципального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управления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2903000      5403000       403000        403000        403000        403000       403000         403000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382850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X      X      X      2520150      5403000       403000        403000        403000        403000       403000         403000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Федеральная служба  165     X      X      X      443649       353448,9     258777,3      121303,7      123411,2      125573,8     127693,4       129805,9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 аккредитации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Совершенствова- Минэкономразвития    X      X      X      X      2903000      5403000       403000        403000        403000        403000       403000         403000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ние реализации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государственных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функций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оказания        действующие         139   0113  0011300  244     382850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государственных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услуг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0113  0011300  244     2520150      5403000       403000        403000        403000        403000       403000         403000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Снижение адми-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нистративных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барьеров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Формирование    Федеральная служба  165     X      X      X      443649       353448,9     258777,3      121303,7      123411,2      125573,8     127693,4       129805,9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единой          по аккредитации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национальной                        165   0113  0010400  121     40314,4      41954,9       41954,9       39368,9       39368,9      39368,9       39368,9       39368,9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системы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аккредитации и                      165   0113  0010400  122     4163,8        4163,8       4163,8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осуществление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контроля за                         165   0113  0010400  242    193368,9      101636,6      1061,5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деятельностью</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аккредитованных                     165   0113  0010400  851       300          300           300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лиц</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165   0113  0010400  244     47759,3      46220,6       48398,3       26573,1       27626,9      28708,2        29768        30824,3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165   0113  0011500  121     27656,4      28781,8       28781,8       27060,7       27060,7      27060,7       27060,7       27060,7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165   0113  0011500  122      42432        42432         42432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165   0114  0011500  242      761,2        799,3         839,2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165   0113  0010800  244       50            50           50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165   0113  0011500  244      86843       87109,9       90795,8        28301        29354,7       30436        31495,8        32552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0" w:name="Par10965"/>
      <w:bookmarkEnd w:id="340"/>
      <w:r w:rsidRPr="00F9399E">
        <w:rPr>
          <w:rFonts w:ascii="Courier New" w:hAnsi="Courier New" w:cs="Courier New"/>
          <w:sz w:val="12"/>
          <w:szCs w:val="16"/>
        </w:rPr>
        <w:t xml:space="preserve"> Подпрограмм  Стимулирование  всего, в том числе   X      X      X      X    18422124,1    19760923,8    20196959     20225651,42   21908145,62  22679709,84   25138057,58   28279590,84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            инноваций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X      X      X      X    17422124,1    12414069,8   12158583,8    9232677,52    8917962,62    7692393,34   7153632,28     7298017,04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1000000      7346854      8038375,2    10992973,9     12990183     14987316,5   17984425,3     20981573,8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101667,9     5101667,9     5101667,9     5101667,9     5101667,9    5101667,9     5101667,9     5101667,9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101667,9      101667,9     101667,9      101667,9      101667,9      101667,9     101667,9       101667,9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X      X      X         -         5000000       5000000       5000000       5000000      5000000       5000000       5000000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5053300      3565000       3360000       2565000       2080000       690000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Минкомсвязь         071     X      X      X      3000000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071     X      X      X      3000000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071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Минобрнауки России  074     X      X      X      2935000      2339300       2283000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074     X      X      X      2935000      2339300       2283000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074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Федеральное         226     X      X      X     5002244,5    6002669,3      7040000      10000000      12000000      14000000     17000000       20000000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бюджетное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учреждение "Фонд</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содействия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развитию малых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форм предприятий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научно-технической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 всего</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226     X      X      X     4002244,5    4002669,3     4003118,8     4008520,1      4011311     4014177,5     4017068,7     4019920,2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226     X      X      X      1000000      2000000     3036881,20    5991479,90      7988689     9985822,5    12982931,3     15980079,8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Роспатент, всего,   168     X      X      X     2329911,7    2752286,6     2412291,1    2558983,52    2726477,72    2888041,94   3036389,68     3177922,94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168     X      X      X     2329911,7    2405432,6     2410797,1    2557489,52    2724983,72    2886547,94   3034895,68     3176428,94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168     X      X      X         -          346854        1494          1494          1494          1494         1494           1494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Обеспечение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координации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политики        Минобрнауки России  074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Поддержка       Минэкономразвития   139     X      X      X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создания и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обеспечение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функционирова-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ния и развития  действующие         139   0411  0816900  241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технологических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платформ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Содействие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реализации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Координационной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биотехнологий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период до 2020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года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Стимулирование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инноваций в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компаниях с</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государственным Минобрнауки России  074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участием</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Мероприятия по  Минфин России       092   0401  3401100  870     3753300      3565000       3360000       2565000       2080000       690000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проектов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Комиссии при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Президенте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 по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модернизации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технологическом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 развитию</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и      всего, в том числе   X      X      X      X     7937244,5    8341969,3      9323000      10000000      12000000      14000000     17000000       20000000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развитие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институтов и    действующие          X      X      X      X     6937244,5    6341969,3     6286118,8     4008520,1      4011311     4014177,5     4017068,7     4019920,2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инфраструктур,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обеспечивающих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запуск и работу</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"инновационного дополнительные       X      X      X      X      1000000      2000000      3036881,2     5991479,9      7988689     9985822,5    12982931,3     15980079,8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лифта"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Минобрнауки         074     X      X      X      2935000      2339300       2283000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074   0412  3401900  630     2935000      2339300       2283000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074   0412  3401900  630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139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Федеральное         226     X      X      X     5002244,5    6002669,3      7040000      10000000      12000000      14000000     17000000       20000000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бюджетное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учреждение "Фонд</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содействия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развитию малых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форм предприятий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научно-технической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226   0411  0819100  611    200450,1      202040,2     202489,7       207891       210681,9      213548,4     216439,6       219291,1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       226   0411  0819100  612    3801794,4    3800629,1     3800629,1     3800629,1     3800629,1    3800629,1     3800629,1     3800629,1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226   0411  0819100  612     1000000      2000000      3036881,2     5991479,9      7988689     9985822,5    12982931,3     15980079,8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Повышение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инновационности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закупок</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Поддержка       Минэкономразвития   139     X      X      X         -         5000000       5000000       5000000       5000000      5000000       5000000       5000000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регионов -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лидеров         дополнительные      139     X      X      X         -         5000000       5000000       5000000       5000000      5000000       5000000       5000000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1300000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0412  3401300  521     1300000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092   0412  3401300  521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Проведение      Минэкономразвития   139   0411  0010400  241    101667,9      101667,9     101667,9      101667,9      101667,9      101667,9     101667,9       101667,9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исследований в  России, всего,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целях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        действующие         139   0411  0010400  241    101667,9      101667,9     101667,9      101667,9      101667,9      101667,9     101667,9       101667,9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экономики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Основное     Предоставление  Роспатент, всего,   168     X      X      X     2329911,7    2752286,6     2412291,1    2558983,52    2726477,72    2888041,94   3036389,68     3177922,94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государственных в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услуг в сфере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правовой охраны действующие         168     X      X      X     2329911,7    2405432,6     2410797,1    2557489,52    2724983,72    2886547,94   3034895,68     3176428,94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объектов интел-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лектуальной     обязательства       168   0108  0300600  862     16329,6       16632        16984,8      18018,29      19198,34      20336,61     21381,76       22378,91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собственности,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совершенствова-                     168   0112  0819900  611    2013714,9    2106102,6     2107417,8    2235650,17    2382066,58    2523299,24   2652978,63     2776701,07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ние их процедур</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повышение                         168   0112  0819900  612      52600       29870,4       32466,3      34441,81      36697,46      38873,26     40871,06       42777,09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эффективности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правовой защиты                     168   0113  0010400  121     61671,4      64180,9       64180,9      68086,19      72545,26      76846,47     80795,82       84563,76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интересов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государства при                     168   0113  0010400  122     10502,7       10327         10323       10951,13      11668,34      12360,16     12995,38       13601,43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использовании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результатов                         168   0113  0010400  242     13895,5       14066         14160       15021,61       16005,4      16954,36     17825,69        18657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НИОКТР</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военного,                           168   0113  0010400  244     24052,9      24815,9        25517       27069,66       28842,5      30552,57     32122,75       33620,8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специального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двойного                            168   0113  0010400  851      1600          1600         1600         1697,36       1808,52      1915,75       2014,2        2108,14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назначения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168   0113  0010400  852        4            4             4           4,24          4,52          4,79         5,04           5,27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168   0113  0010800  244       6,9          6,9           6,9          7,32           7,8          8,26         8,69           9,09</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168   0113  2470100  611    135533,8      137826,9     138136,4      146541,74      156139      165396,47     173896,66     182006,38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168   0112  0819900  612        -          102500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168   0112  1550059  612        -          242860          -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168   0108  1552794  863        -           1494         1494          1494          1494          1494         1494           1494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Минобрнауки России  074     X      X      X         -            -             -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Повышение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эффективности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деятельности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институтов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 инноваций</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уни-   Минкомсвязь России  071   04 10  34 -    450     3000000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верситетского                                    0220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комплекса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территориально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обособленном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центре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"Иннополис"</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1" w:name="Par11210"/>
      <w:bookmarkEnd w:id="341"/>
      <w:r w:rsidRPr="00F9399E">
        <w:rPr>
          <w:rFonts w:ascii="Courier New" w:hAnsi="Courier New" w:cs="Courier New"/>
          <w:sz w:val="12"/>
          <w:szCs w:val="16"/>
        </w:rPr>
        <w:t xml:space="preserve"> Подпрограм-  Повышение       всего                X      X      X      X     721501,4      696091,8     699486,8      713146,2      733932,4      755281,4     776808,5       798039,2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эффективности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деятельности    ФСТ России          307     X      X      X     721501,4      696091,8     699486,8      713146,2      733932,4      755281,4     776808,5       798039,2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естественных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монополий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иных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регулируемых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организаций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стимулирующего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Внедрение       ФСТ России          307   0401  0010400  121    329126,1      342518,4     342518,4      352689,2      369879,5       387538      405451,5       423082,1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системы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комплексного                        307   0401  0010400  122      22478       23028,6       23396,1       24144,6       24726,1      25322,9       25907,8       26490,8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стимулирующего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регулирования                       307   0401  0010400  242     54893,3       45235        38106,5      192997,9      193375,8      193763,6     194143,8       194522,6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307   0401  0010400  244    102147,5      65842,4       69350,2      132864,6      135491,3      138186,9      140829        143461,9</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307   0401  0010400  851     2783,7         2300         2300          2300          2300          2300         2300           2300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307   0401  0010400  852       150          100           100           350           350          350           350           350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307   0108  0300600  862      158,8        161,7         165,1         163,7         173,5        183,8         190,2         195,6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307   0401  0010800  244      38,1          38,1         38,1          36,2          36,2          36,2         36,2           36,2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307   0411  0816900  241      8000          8000         8000          7600          7600          7600         7600           7600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307   0401  0939900  611    201725,9      208867,6     215512,4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Повышение       ФСТ России          307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эффективности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функционирова-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ния естествен-</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ных монополий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организаций,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осуществляющих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регулируемые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виды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деятельности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Поэтапный       ФСТ России          307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переход к</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регулированию</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 основе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долгосрочного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периода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регулирования: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6.3.1. в сфере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теплоснабжения;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6.3.2. в сфере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водоснабжения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водоотведения;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6.3.3.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газовой отрасли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2" w:name="Par11269"/>
      <w:bookmarkEnd w:id="342"/>
      <w:r w:rsidRPr="00F9399E">
        <w:rPr>
          <w:rFonts w:ascii="Courier New" w:hAnsi="Courier New" w:cs="Courier New"/>
          <w:sz w:val="12"/>
          <w:szCs w:val="16"/>
        </w:rPr>
        <w:t xml:space="preserve"> Подпрограм-  Кадры для       всего                X      X      X      X     524589,1      533724,4     533796,7      535298,4      536044,1      536809,9     537584,3       538347,4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инновационной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экономики       Минэкономразвития   139     X      X      X     524589,1      533724,4     533796,7      535298,4      536044,1      536809,9     537584,3       538347,4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Подготовка не   Минэкономразвития   139   0705  4361800  521    148221,3      156801,3     156801,3      156801,3      156801,3      156801,3     156801,3       156801,3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менее 5 000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управленцев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ежегодно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(обучение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форме профес-</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сиональной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переподготовки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повышения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квалификации)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образовательных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учреждениях,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поэтапное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увеличение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количества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специалистов,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обучающихся по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проектно-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ориентированным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программам, с</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применением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современных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образовательных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технологий,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основанных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активных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методах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обучения и др.</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Организация и   Минэкономразвития   139   0709  4297800  612    125451,5      125451,5     125451,5      125451,5      125451,5      125451,5     125451,5       125451,5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проведение      России, ФГУ</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зарубежных      "Федеральный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стажировок      ресурсный центр по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российских      организации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специалистов в  подготовки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рамках взаимных управленческих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обменов с       кадров"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иностранными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государствами,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целевых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проектных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стажировок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конкурсного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отбора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проектов,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стажировок</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иностранных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специалистов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предприятиях,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внутрирос-</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сийских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стажировок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др.</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Повышение       Минэкономразвития   139   0709  4359900  611     15126,3      15681,6       15753,9       17255,6       18001,3      18767,1       19541,5       20304,6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качества        России, ФГУ</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образовательных "Федеральный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 и      ресурсный центр по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контроль        организации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качества        подготовки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подготовки      управленческих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специалистов    кадров"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Информационно-  Минэкономразвития   139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технологическое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обеспечение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подпрограммы,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создание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ведение баз</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данных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участников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подпрограммы,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оценка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эффективности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подпрограммы</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Управление и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нормативное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правовое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обеспечение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подготовки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управленческих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кадров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Подготовка      Минэкономразвития   139   0705  4297800  244     235790        235790       235790        235790        235790        235790       235790         235790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мероприятие  управленческих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кадров в сфере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здравоохранения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образования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3" w:name="Par11368"/>
      <w:bookmarkEnd w:id="343"/>
      <w:r w:rsidRPr="00F9399E">
        <w:rPr>
          <w:rFonts w:ascii="Courier New" w:hAnsi="Courier New" w:cs="Courier New"/>
          <w:sz w:val="12"/>
          <w:szCs w:val="16"/>
        </w:rPr>
        <w:t xml:space="preserve"> Подпрограм-  Совершенствова- всего                X      X      X      X     158267,9      168942,3      169336,6      185655,1      193533,8     201626,5      209822,2      217893,2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ние системы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   Минэкономразвития   139     X      X      X     158267,9      168942,3     169336,6      185655,1      193533,8      201626,5     209822,2       217893,2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ного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стратегического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Развитие госу-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дарственного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стратегического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планирования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Разработка      Минэкономразвития   139   0113  0309600  244     2631,5        2631,5       2631,5        2631,5        2631,5        2631,5       2631,5         2631,5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прогнозов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социально-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механизмов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стратегического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управления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социально-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экономическим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развитием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субъектов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Российской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Федерации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Разработка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предложений по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совершенство-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ванию и участие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политики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отдельных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секторах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экономики</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Разработка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предложений по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совершенство-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ванию и участие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политики 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социальной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сфере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Формирование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расходов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инвестиционного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характера,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формирование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реализация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адресной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инвестиционной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программы 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очередной год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плановый период</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Минэкономразвития   139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условий для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эффективной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разработки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реализации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целевых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целевых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ведомств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Научно-         Минэкономразвития   139   0411  0819900   X     155636,4      166310,8     166705,1      183023,6      190902,3       198995      207190,7       215261,7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аналитическое   России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обеспечение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развития                            139   0411  0819900  611    155265,1      165919,7     166294,5      182592,6      190450,3      198521,5     206695,4        214745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стратегического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планирования и                      139   0411  0819900  612      371,3        391,1         410,6          431           452         473,5         495,3         516,7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прогнозирования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4" w:name="Par11453"/>
      <w:bookmarkEnd w:id="344"/>
      <w:r w:rsidRPr="00F9399E">
        <w:rPr>
          <w:rFonts w:ascii="Courier New" w:hAnsi="Courier New" w:cs="Courier New"/>
          <w:sz w:val="12"/>
          <w:szCs w:val="16"/>
        </w:rPr>
        <w:t xml:space="preserve"> Подпрограм-  Формирование    всего, в том числе  157     X      X      X    12729653,3    14499564,5   18541940,7    29547588,1     18927114     18530669,4   23425368,7     46864634,4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официальной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статистической  дополнительные      157     X      X      X     759362,1     2264451,8     6391526,9     5089876,6     4240002,1    3643540,2      8346789      20837467,4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информации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157     X      X      X    11970291,2    12235112,7   12150413,8    24457711,5    14687111,9    14887129,2   15078579,7      26027167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Росстат             157     X      X      X    11970291,2    12235112,7   12150413,8    24457711,5    14687111,9    14887129,2   15078579,7      26027167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Росстат, всего, в   157     X      X      X    11195882,8    11695233,5   11640757,8    13057438,3    14410532,8    14994299,2   15586880,4     15876757,2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Федерального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плана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статистических  действующие         157     X      X      X    10436520,7    10823009,4   10840100,5    11943223,7    12480646,6    13032683,9   13592062,7     14142826,9</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работ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157   0108  0309800  862      64,8           66          67,4          66,8          70,8           75          77,6           79,8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157   0112  0010400  241     34499,8      34499,8       34499,8       34499,8       34499,8      34499,8       34499,8       34499,8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157   0112  0819900  611     11871,2      12341,2       12368,3       13763,3        14433        15121        15817,9       16504,2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157   0113  0010400  121    524741,5      546093,3     546093,3      609443,2       639148       669661,7      700616        731081,3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157   0113  0010400  122     6149,9        6328,4       6515,8        6708,7        6906,9        7110,3       7309,6         7508,3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157   0113  0010400  244    282409,3      283587,4     285963,5      283021,9      285375,7       287791      290158,6       292517,8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157   0113  0010400  851      38886        38886         38886         38886         38886        38886         38886         38886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157   0113  0010400  852       286          286           286           286           286          286           286           286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157   0113  0010800  244     1629,8        1629,8       1629,8        1629,8        1629,8        1629,8       1629,8         1629,8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157   0113  0011500  121     8640458     8992041,4     8992041,4    10035168,8    10524292,2    11026733,6   11536431,8     12038078,4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157   0113  0011500  122     31203,7      32025,2       32859,2       33197,9       34117,6      35061,3       35987,7       36910,4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157   0113  0011500  244    703219,9      714124,1     727789,2      725450,7       739900       754727,6     769261,1       783744,3</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157   0113  0011500  851     124087        124087       124087        124087        124087        124087       124087         124087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157   0113  0011500  852     4433,1        4433,1       4433,1        4433,1        4433,1        4433,1       4433,1        4433,10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157   0113  5051002  122     32580,7      32580,7       32580,7       32580,7       32580,7      32580,7       32580,7       32580,7</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0113                  759362,1      872224,1     800657,3      1114214,6     1929886,2    1961615,3     1994817,7     1733930,3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Подготовка,     Росстат, всего, в                                314657       220164,6     942402,5       17760,1       7451,1       576087,8      4898205      26022972,7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проведение и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подведение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итогов          действующие         157     X      X      X      314657       163967,2      370176        17760,1       7451,1       105162,9         -         8267755,6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всероссийских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переписей       обязательства       157   0113  0010400  122      378,2         8083        13094,4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населения</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(микроперепи-                       157   0113  0012700  242     19939,5      45841,1       20666,3          -             -         55276,2          -           869638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сей)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294339,3      110043,1     336415,3       17760,1       7451,1       49886,7          -         2457490,1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530        -            -             -             -             -            -             -         4940627,5</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0113                      _         56197,4      572226,5          _             _         470924,9      4898205      17755217,1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242        -         19669,1      200279,3          -             -         164823,7     1714371,8      6214326</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         36528,3      371947,2          -             -         306101,2     3183833,2     11540891,1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Подготовка,     Росстат, всего, в                                   -          336994      2757059,4    11283201,6     859312,9      436223,4      79993,7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проведение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подведение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итогов          действующие         157     X      X      X         -            -             -         9207539,6      449197       436223,4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всероссийских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сельскохозяйст-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венных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переписей                           157   0113  0010400  122        -            -             -          137679        6913,1        6152,7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242        -            -             -         1311292,8     137355,9      85021,4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            -             -         5437756,7      304928       345049,3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0014300  530        -            -             -         2320811,1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0113                      -          336994      2757059,4      2075662      410115,9         -          79993,7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242        -         117947,9     964970,8      726481,7      143540,6         -          27997,8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         219046,1     1792088,6     1349180,3     266575,3         -          51995,9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Разработка      Росстат, всего, в                               165794,5      238214,1     1442885,3      2115298       463687          -         132843,4      2273689,1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базовых таблиц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"затраты-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выпуск" и       действующие         157     X      X      X     165794,5      152897,1      57643,4       2115298       463687          -          31070,8      2273689,1</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подготовка,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проведение и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подведение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итогов                              157   0113  0012700  242     25716,5      18292,5          -          92882,1       74173,6                                  519985,4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сплошного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федерального                        157   0113  0012700  244     140078       134604,6      57643,4      2022415,9     389513,4                    31070,8      1753703,7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статистического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наблюдения за   дополнительные      157   0113  0012700             -          85317       1385241,9         -             -            -         101772,6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деятельностью   объемы ресурсов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субъектов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малого и                            157   0113  0012700  242        -          29861       484834,9          -             -            -          35620,4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среднего пред-</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принимательства                     157   0113  0012700  244        -          55456        900407           -             -            -          66152,2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Организация     Росстат, всего, в                               274536,1      565952,5     456357,5      496723,2      574257,2      563743,2     666165,8       510688,2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системы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федеральных</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статистических  действующие         157     X      X      X     274536,1      565952,5     456357,5      496723,2      574257,2      563743,2     666165,8       510688,2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наблюдений по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социально-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демографическим</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проблемам и                         157   0113  0010400  122     24428,5      52768,6       47921,7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мониторинга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экономических                       157   0113  0012700  242     31060,2      55387,2        40106         34539        44834,6      41137,5       59490,6       20967,7</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потерь от</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смертности,                         157   0113  0012700  244    219047,4      457796,7     368329,8      462184,2      529422,6      522605,7     606675,2       489720,5</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заболеваемости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инвалидизации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населения</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Организация и   Росстат, всего, в                               144708,9      226919,3     250141,8      247655,9      272421,5      299663,7       32963         362593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проведение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обследований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отдельных       действующие         157     X      X      X     144708,9       25000         25000       247655,9      272421,5      299663,7      329630         362593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аспектов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занятости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населения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оплаты труда                        157   0113  0012700  242     3088,1        1808,7       1808,7          944         1038,4        1142,2       1256,4          1382</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157   0113  0012700  244    141620,8      23191,3       23191,3      246711,9      271383,1      298521,5     328373,6        361211</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0113                      -         201919,3     225141,8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242        -         70671,8       78799,6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0012700  244        -         131247,5     146342,2          -             -            -             -             -</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Информатизация  Росстат, всего, в                               384745,4     1103226,5     1052336,4      2329511      2339451,5    1660652,1     1731650,4     1817934,2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сбора,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обработки 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распространения действующие         157     X      X      X     384745,4      391426,5     401136,4       429511       439451,5      449652,1     459650,4       469614,2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официальной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статистической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информации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157   0113  0010400  242    191715,9      191989,3     195100,3      199684,6      202647,5      205687,9      208668        211637,8</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157   0113  0011500  242    193029,5      199437,2     206036,1      229826,4       236804       243964,2     250982,4       257976,4</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157   0113  0011500  242        -          711800       651200        1900000       1900000      1211000       1272000       1348320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Реализация      действующие         157     X      X      X     249328,6       112860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проекта МБРР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"Развитие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системы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государственной                     157   0113  0300301  244     49250,1       21945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статистики"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(займ N 4867-                       157   0113  0300302  244    200078,5       90915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RU)</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5" w:name="Par11620"/>
      <w:bookmarkEnd w:id="345"/>
      <w:r w:rsidRPr="00F9399E">
        <w:rPr>
          <w:rFonts w:ascii="Courier New" w:hAnsi="Courier New" w:cs="Courier New"/>
          <w:sz w:val="12"/>
          <w:szCs w:val="16"/>
        </w:rPr>
        <w:t xml:space="preserve"> Подпрограм-  Создание и      всего                X      X      X      X     24320000      22950000     18269923      14733958      13614077      14160907     13577111       13988100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ма           развитие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инновационного  действующие          X      X      X      X     24320000      22950000     18269923      14733958      11466756      11462230     10826020       11184164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центра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"Сколково"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            -             -             -          2147321      2698677       2751091       2803936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23520000      21710000     15857923      12517958      12656937      12929967     13327111       13738100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092     X      X      X     23520000      21710000     15857923      12517958      10509616      10231290     10576020       10934164</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092     X      X      X         -            -             -             -          2147321      2698677       2751091       2803936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ФТС России          153     X      X      X      800000       1240000       2412000       2216000       957140       1230940       250000         250000</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153     X      X      X      800000       1240000       2412000       2216000       957140       1230940       250000         250000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153     X      X      X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и      всего                X      X      X      X      7619527      6305554       9071526       8057955       6716070      7004382       6071748       6124238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развитие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инновационной   действующие          X      X      X      X      7619527      6305554       9071526       8057955       5716070      5504382       4571748       4624238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среды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X      X      X      X         -            -             -             -          1000000      1500000       1500000       1500000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6819527      5065554       6659526       5841955       5758930      5773442       5821748       5874238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092   0412  0923101  630     6819527      5065554       6659526       5841955       4758930      4273442       4321748       4374238</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092   0412  0923101  630        -            -             -             -          1000000      1500000       1500000       1500000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ФТС России, всего,  153     X      X      X      800000       1240000       2412000       2216000       957140       1230940       250000         250000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153   0412  0923102  630     800000       1240000       2412000       2216000       957140       1230940       250000         250000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153   0412  0923102  630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и      Минфин России,      092     X      X      X      4876800      5001036       3599350       5000000       5400000      5700000       6000000       6300000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развитие        всего, в том числе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Сколковского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института науки действующие         092   0412  0923101  630     4876800      5001036       3599350       5000000       5400000      5700000       6000000       6300000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 технологий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дополнительные      092   0412  0923101  630        -            -             -             -             -            -             -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Основное     Создание и      всего                X      X      X      X     11823673      11643410      5599047       1676003       1498007      1456525       1505363       1563862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мероприятие  управление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физической      действующие          X      X      X      X     11823673      11643410      5599047       1676003       350686        257848       254272         259926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инфраструктурой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инновационного  обязательства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центра</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"Сколково"      дополнительные       X      X      X      X         -            -             -             -          1147321      1198677       1251091       1303936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Минфин России,      092     X      X      X     11823673      11643410      5599047       1676003       1498007      1456525       1505363       1563862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всего, в том числе</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действующие         092   0412  0923101  630    11823673      11643410      5599047       1676003       350686        257848       254272         259926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расходные</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обязательства</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lastRenderedPageBreak/>
        <w:t xml:space="preserve">                              дополнительные      092   0412  0923101  630        -            -             -             -          1147321      1198677       1251091       1303936</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объемы ресурсов</w:t>
      </w:r>
    </w:p>
    <w:p w:rsidR="00C65754" w:rsidRPr="00F9399E" w:rsidRDefault="00C65754">
      <w:pPr>
        <w:pStyle w:val="ConsPlusCell"/>
        <w:rPr>
          <w:rFonts w:ascii="Courier New" w:hAnsi="Courier New" w:cs="Courier New"/>
          <w:sz w:val="12"/>
          <w:szCs w:val="16"/>
        </w:rPr>
      </w:pPr>
    </w:p>
    <w:p w:rsidR="00C65754" w:rsidRPr="00F9399E" w:rsidRDefault="00C65754">
      <w:pPr>
        <w:pStyle w:val="ConsPlusCell"/>
        <w:rPr>
          <w:rFonts w:ascii="Courier New" w:hAnsi="Courier New" w:cs="Courier New"/>
          <w:sz w:val="12"/>
          <w:szCs w:val="16"/>
        </w:rPr>
      </w:pPr>
      <w:bookmarkStart w:id="346" w:name="Par11706"/>
      <w:bookmarkEnd w:id="346"/>
      <w:r w:rsidRPr="00F9399E">
        <w:rPr>
          <w:rFonts w:ascii="Courier New" w:hAnsi="Courier New" w:cs="Courier New"/>
          <w:sz w:val="12"/>
          <w:szCs w:val="16"/>
        </w:rPr>
        <w:t xml:space="preserve"> Федеральная  Развитие единой всего                X      X   15Г9999   X         -         2000000       2500000       3500000     15552450,9     15438836    13112023,3         -</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целевая      государственной</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программа    системы         Росреестр            X      X      X      X                   1547500       1968500       2857067     11762277,9     11964174    10459888,3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регистрации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прав и          Росимущество         X      X      X      X                    50000         57670        100200        800510       1016527       1247912</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кадастрового</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учета           ФНС России           X      X      X      X                    322500       358430        405533        2639763      2085535       1404223</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недвижимости</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(2014 - 2019    Минкомсвязь России   X      X      X      X                    80000        115400        137200        349900        372600</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 xml:space="preserve">              годы)</w:t>
      </w:r>
    </w:p>
    <w:p w:rsidR="00C65754" w:rsidRPr="00F9399E" w:rsidRDefault="00C65754">
      <w:pPr>
        <w:pStyle w:val="ConsPlusCell"/>
        <w:rPr>
          <w:rFonts w:ascii="Courier New" w:hAnsi="Courier New" w:cs="Courier New"/>
          <w:sz w:val="12"/>
          <w:szCs w:val="16"/>
        </w:rPr>
      </w:pPr>
      <w:r w:rsidRPr="00F9399E">
        <w:rPr>
          <w:rFonts w:ascii="Courier New" w:hAnsi="Courier New" w:cs="Courier New"/>
          <w:sz w:val="12"/>
          <w:szCs w:val="16"/>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F9399E" w:rsidRDefault="00F9399E">
      <w:pPr>
        <w:rPr>
          <w:rFonts w:ascii="Calibri" w:hAnsi="Calibri" w:cs="Calibri"/>
        </w:rPr>
      </w:pPr>
      <w:r>
        <w:rPr>
          <w:rFonts w:ascii="Calibri" w:hAnsi="Calibri" w:cs="Calibri"/>
        </w:rPr>
        <w:br w:type="page"/>
      </w: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347" w:name="Par11722"/>
      <w:bookmarkEnd w:id="347"/>
      <w:r>
        <w:rPr>
          <w:rFonts w:ascii="Calibri" w:hAnsi="Calibri" w:cs="Calibri"/>
        </w:rPr>
        <w:lastRenderedPageBreak/>
        <w:t>Приложение N 7</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bookmarkStart w:id="348" w:name="Par11724"/>
      <w:bookmarkEnd w:id="348"/>
      <w:r>
        <w:rPr>
          <w:rFonts w:ascii="Calibri" w:hAnsi="Calibri" w:cs="Calibri"/>
        </w:rPr>
        <w:t>РЕСУРСНОЕ ОБЕСПЕЧЕНИЕ И ПРОГНОЗНАЯ (СПРАВОЧНАЯ) ОЦЕНКА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ФЕДЕРАЛЬНОГО БЮДЖЕТА, БЮДЖЕТОВ ГОСУДАРСТВЕННЫХ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ФОНДОВ, КОНСОЛИДИРОВАННЫХ БЮДЖЕТОВ СУБЪЕКТОВ</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ЮРИДИЧЕСКИХ ЛИЦ НА РЕАЛИЗАЦИЮ</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ЦЕЛЕЙ ГОСУДАРСТВЕННОЙ ПРОГРАММЫ РОССИЙСКОЙ ФЕДЕРАЦИИ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Наименование  │  Ответственный  │                                                       Годы</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государственной │  исполнитель,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программы,   │ соисполнители,  │    2013     │     2014     │    2015     │    2016     │     2017     │    2018     │     2019     │    2020</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подпрограммы  │ государственный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государственной │    заказчик-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программы,   │   координатор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федеральной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целевой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программы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(подпрограммы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федеральной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целевой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программы),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ведомственной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целевой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программы,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основного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мероприятия   │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w:t>
      </w:r>
    </w:p>
    <w:p w:rsidR="00C65754" w:rsidRDefault="00C65754">
      <w:pPr>
        <w:pStyle w:val="ConsPlusCell"/>
        <w:rPr>
          <w:rFonts w:ascii="Courier New" w:hAnsi="Courier New" w:cs="Courier New"/>
          <w:sz w:val="16"/>
          <w:szCs w:val="16"/>
        </w:rPr>
      </w:pPr>
      <w:bookmarkStart w:id="349" w:name="Par11751"/>
      <w:bookmarkEnd w:id="349"/>
      <w:r>
        <w:rPr>
          <w:rFonts w:ascii="Courier New" w:hAnsi="Courier New" w:cs="Courier New"/>
          <w:sz w:val="16"/>
          <w:szCs w:val="16"/>
        </w:rPr>
        <w:t xml:space="preserve"> Экономическое    всего             1226359887,11 1283607829,97  1323783306,72 179734668,23    171541675    176256278,68   179949981,76  193447371,91</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развитие 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инновационная    федеральный        124826018,3   129856089,3    119278028,8  117254890,02   118216870,32  117398376,34   115777964,38  115782877,74</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экономика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9510364,157   10391087,01    10031087,01    7656801,3     7656801,3      7656801,3     7656801,3      7656801,3</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lastRenderedPageBreak/>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1092023505     1143360654    1194474191    54822976,91   45668003,38    51201101,04   56515216,08    70007692,87</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0" w:name="Par11773"/>
      <w:bookmarkEnd w:id="350"/>
      <w:r>
        <w:rPr>
          <w:rFonts w:ascii="Courier New" w:hAnsi="Courier New" w:cs="Courier New"/>
          <w:sz w:val="16"/>
          <w:szCs w:val="16"/>
        </w:rPr>
        <w:t xml:space="preserve"> Формирование     всего               24338175      24958598,5    15911483,5    12967168,8     13656705,5    12682519,5     13077606,8    13493472,8</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благоприятной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инвестиционной   федеральный          9825885      16862448,5    12259993,8     9060029,7      9476032       8209173,3     8291089,5      8371851,8</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среды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14512290       8096150       3651489,7     3907139,1     4180673,5      4473346,2     4786517,3       5121621</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1" w:name="Par11795"/>
      <w:bookmarkEnd w:id="351"/>
      <w:r>
        <w:rPr>
          <w:rFonts w:ascii="Courier New" w:hAnsi="Courier New" w:cs="Courier New"/>
          <w:sz w:val="16"/>
          <w:szCs w:val="16"/>
        </w:rPr>
        <w:t xml:space="preserve"> Развитие малого  всего             31207142,86    32914285,71   32914285,71     25000000      25000000       25000000      25000000       25000000</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 среднего</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предпринима-     федеральный         21845000       23040000      23040000      17500000       17500000      17500000       17500000      17500000</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тельства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9362142,86     9874285,71    9874285,71      7500000       7500000        7500000       7500000        7500000</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2" w:name="Par11817"/>
      <w:bookmarkEnd w:id="352"/>
      <w:r>
        <w:rPr>
          <w:rFonts w:ascii="Courier New" w:hAnsi="Courier New" w:cs="Courier New"/>
          <w:sz w:val="16"/>
          <w:szCs w:val="16"/>
        </w:rPr>
        <w:t xml:space="preserve"> Создание         всего              37211860,6     38602250,9     37237717     37215109,9     39029635,4    40589322,9     42164711,2    43717592,2</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благоприятных</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условий для      федеральный        37211860,6     38602250,9     37237717     37215109,9     39029635,4    40589322,9     42164711,2    43717592,2</w:t>
      </w:r>
    </w:p>
    <w:p w:rsidR="00C65754" w:rsidRDefault="00C65754">
      <w:pPr>
        <w:pStyle w:val="ConsPlusCell"/>
        <w:rPr>
          <w:rFonts w:ascii="Courier New" w:hAnsi="Courier New" w:cs="Courier New"/>
          <w:sz w:val="16"/>
          <w:szCs w:val="16"/>
        </w:rPr>
      </w:pPr>
      <w:r>
        <w:rPr>
          <w:rFonts w:ascii="Courier New" w:hAnsi="Courier New" w:cs="Courier New"/>
          <w:sz w:val="16"/>
          <w:szCs w:val="16"/>
        </w:rPr>
        <w:lastRenderedPageBreak/>
        <w:t xml:space="preserve"> развития рынка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недвижимости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3" w:name="Par11839"/>
      <w:bookmarkEnd w:id="353"/>
      <w:r>
        <w:rPr>
          <w:rFonts w:ascii="Courier New" w:hAnsi="Courier New" w:cs="Courier New"/>
          <w:sz w:val="16"/>
          <w:szCs w:val="16"/>
        </w:rPr>
        <w:t xml:space="preserve"> Совершенство-    всего                826499        353448,9      258777,3      121303,7       123411,2      125573,8       127693,4      129805,9</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вание госу-</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дарственного и   федеральный          826499        353448,9      258777,3      121303,7       123411,2      125573,8       127693,4      129805,9</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муниципального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н/д           н/д            н/д           н/д           н/д            н/д           н/д            н/д</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н/д           н/д            н/д           н/д           н/д            н/д           н/д            н/д</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н/д           н/д            н/д           н/д           н/д            н/д           н/д            н/д</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н/д           н/д            н/д           н/д           н/д            н/д           н/д            н/д</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4" w:name="Par11861"/>
      <w:bookmarkEnd w:id="354"/>
      <w:r>
        <w:rPr>
          <w:rFonts w:ascii="Courier New" w:hAnsi="Courier New" w:cs="Courier New"/>
          <w:sz w:val="16"/>
          <w:szCs w:val="16"/>
        </w:rPr>
        <w:t xml:space="preserve"> Стимулирование   всего                3000000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инноваций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федеральный          3000000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&lt;*&gt;</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5" w:name="Par11884"/>
      <w:bookmarkEnd w:id="355"/>
      <w:r>
        <w:rPr>
          <w:rFonts w:ascii="Courier New" w:hAnsi="Courier New" w:cs="Courier New"/>
          <w:sz w:val="16"/>
          <w:szCs w:val="16"/>
        </w:rPr>
        <w:t xml:space="preserve"> Повышение        всего               721501,4       696091,8      699486,8      713146,2       733932,4      755281,4       776808,5      798039,2</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эффективности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функционирова-   федеральный         721501,4       696091,8      699486,8      713146,2       733932,4      755281,4       776808,5      798039,2</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ния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естественных</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монополий и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иных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регулируемых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организаций и    Федерации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стимулирующего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регулирования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6" w:name="Par11906"/>
      <w:bookmarkEnd w:id="356"/>
      <w:r>
        <w:rPr>
          <w:rFonts w:ascii="Courier New" w:hAnsi="Courier New" w:cs="Courier New"/>
          <w:sz w:val="16"/>
          <w:szCs w:val="16"/>
        </w:rPr>
        <w:t xml:space="preserve"> Кадры для        всего               825523,25     852078,55      852150,85     853652,55     854398,25      855164,05     855938,45      856701,55</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инновационной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экономики        федеральный         524589,1       533724,4      533796,7      535298,4       536044,1      536809,9       537584,3      538347,4</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148221,3       156801,3      156801,3      156801,3       156801,3      156801,3       156801,3      156801,3</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152712,85     161552,85      161552,85     161552,85     161552,85      161552,85     161552,85      161552,85</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7" w:name="Par11928"/>
      <w:bookmarkEnd w:id="357"/>
      <w:r>
        <w:rPr>
          <w:rFonts w:ascii="Courier New" w:hAnsi="Courier New" w:cs="Courier New"/>
          <w:sz w:val="16"/>
          <w:szCs w:val="16"/>
        </w:rPr>
        <w:t xml:space="preserve"> Совершенствова-  всего               158267,9       168942,3      169336,6      185655,1       193533,8      201626,5       209822,2      217893,2</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ние системы го-</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сударственного   федеральный         158267,9       168942,3      169336,6      185655,1       193533,8      201626,5       209822,2      217893,2</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стратегического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8" w:name="Par11950"/>
      <w:bookmarkEnd w:id="358"/>
      <w:r>
        <w:rPr>
          <w:rFonts w:ascii="Courier New" w:hAnsi="Courier New" w:cs="Courier New"/>
          <w:sz w:val="16"/>
          <w:szCs w:val="16"/>
        </w:rPr>
        <w:t xml:space="preserve"> Формирование     всего              11970291,2    12235112,7     12150413,8    24457711,5    14687111,9     14887129,2    15078579,7      26027167</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официальной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статистической   федеральный        11970291,2    12235112,7    12150413,8    24457711,5     14687111,9    14887129,2     15078579,7      26027167</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информации       бюджет</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59" w:name="Par11972"/>
      <w:bookmarkEnd w:id="359"/>
      <w:r>
        <w:rPr>
          <w:rFonts w:ascii="Courier New" w:hAnsi="Courier New" w:cs="Courier New"/>
          <w:sz w:val="16"/>
          <w:szCs w:val="16"/>
        </w:rPr>
        <w:t xml:space="preserve"> Создание и       всего             64710511,81    46288690,8    66867701,29   65488242,81    52792533,23    58028432,2    62393166,01   75908682,78</w:t>
      </w:r>
    </w:p>
    <w:p w:rsidR="00C65754" w:rsidRDefault="00C65754">
      <w:pPr>
        <w:pStyle w:val="ConsPlusCell"/>
        <w:rPr>
          <w:rFonts w:ascii="Courier New" w:hAnsi="Courier New" w:cs="Courier New"/>
          <w:sz w:val="16"/>
          <w:szCs w:val="16"/>
        </w:rPr>
      </w:pPr>
      <w:r>
        <w:rPr>
          <w:rFonts w:ascii="Courier New" w:hAnsi="Courier New" w:cs="Courier New"/>
          <w:sz w:val="16"/>
          <w:szCs w:val="16"/>
        </w:rPr>
        <w:lastRenderedPageBreak/>
        <w:t xml:space="preserve"> развитие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инновационного   федеральный         24320000       22950000    18269922,93   14733957,85    11466756,21    11462230,21   10826020,09   11184163,77</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центра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"Сколково"</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юридические лица   40390511,81    23338690,8    48597778,36   50754284,96   41325777,02    46566201,99   51567145,92    64724519,01</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bookmarkStart w:id="360" w:name="Par11994"/>
      <w:bookmarkEnd w:id="360"/>
      <w:r>
        <w:rPr>
          <w:rFonts w:ascii="Courier New" w:hAnsi="Courier New" w:cs="Courier New"/>
          <w:sz w:val="16"/>
          <w:szCs w:val="16"/>
        </w:rPr>
        <w:t xml:space="preserve"> Развитие единой  всего                              2360000       2920000       3980000      16072450,9      15818836     13314023,3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системы          федеральный                        2000000       2500000       3500000      15552450,9      15438836     13112023,3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регистрации      бюджет</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прав 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кадастрового     консолидированные       -           360000        420000        480000         520000        380000         202000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учета            бюджеты субъектов</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недвижимости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(2014 - 2019     Федерации</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годы)</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C65754" w:rsidRDefault="00C65754">
      <w:pPr>
        <w:pStyle w:val="ConsPlusCell"/>
        <w:rPr>
          <w:rFonts w:ascii="Courier New" w:hAnsi="Courier New" w:cs="Courier New"/>
          <w:sz w:val="16"/>
          <w:szCs w:val="16"/>
        </w:rPr>
      </w:pP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C65754" w:rsidRDefault="00C65754">
      <w:pPr>
        <w:pStyle w:val="ConsPlusCell"/>
        <w:rPr>
          <w:rFonts w:ascii="Courier New" w:hAnsi="Courier New" w:cs="Courier New"/>
          <w:sz w:val="16"/>
          <w:szCs w:val="16"/>
        </w:rPr>
      </w:pPr>
      <w:r>
        <w:rPr>
          <w:rFonts w:ascii="Courier New" w:hAnsi="Courier New" w:cs="Courier New"/>
          <w:sz w:val="16"/>
          <w:szCs w:val="16"/>
        </w:rPr>
        <w:t xml:space="preserve">                  фонды</w:t>
      </w:r>
    </w:p>
    <w:p w:rsidR="00C65754" w:rsidRDefault="00C65754">
      <w:pPr>
        <w:pStyle w:val="ConsPlusCell"/>
        <w:rPr>
          <w:rFonts w:ascii="Courier New" w:hAnsi="Courier New" w:cs="Courier New"/>
          <w:sz w:val="16"/>
          <w:szCs w:val="16"/>
        </w:rPr>
      </w:pPr>
      <w:r>
        <w:rPr>
          <w:rFonts w:ascii="Courier New" w:hAnsi="Courier New" w:cs="Courier New"/>
          <w:sz w:val="16"/>
          <w:szCs w:val="16"/>
        </w:rPr>
        <w:t>───────────────────────────────────────────────────────────────────────────────────────────────────────────────────────────────────────────────────────</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both"/>
        <w:rPr>
          <w:rFonts w:ascii="Calibri" w:hAnsi="Calibri" w:cs="Calibri"/>
          <w:lang w:val="en-US"/>
        </w:rPr>
      </w:pPr>
    </w:p>
    <w:p w:rsidR="00F9399E" w:rsidRDefault="00F9399E">
      <w:pPr>
        <w:widowControl w:val="0"/>
        <w:autoSpaceDE w:val="0"/>
        <w:autoSpaceDN w:val="0"/>
        <w:adjustRightInd w:val="0"/>
        <w:spacing w:after="0" w:line="240" w:lineRule="auto"/>
        <w:jc w:val="both"/>
        <w:rPr>
          <w:rFonts w:ascii="Calibri" w:hAnsi="Calibri" w:cs="Calibri"/>
          <w:lang w:val="en-US"/>
        </w:rPr>
        <w:sectPr w:rsidR="00F9399E">
          <w:pgSz w:w="16838" w:h="11905" w:orient="landscape"/>
          <w:pgMar w:top="1701" w:right="1134" w:bottom="850" w:left="1134" w:header="720" w:footer="720" w:gutter="0"/>
          <w:cols w:space="720"/>
          <w:noEndnote/>
        </w:sectPr>
      </w:pPr>
    </w:p>
    <w:p w:rsidR="00F9399E" w:rsidRPr="00F9399E" w:rsidRDefault="00F9399E">
      <w:pPr>
        <w:widowControl w:val="0"/>
        <w:autoSpaceDE w:val="0"/>
        <w:autoSpaceDN w:val="0"/>
        <w:adjustRightInd w:val="0"/>
        <w:spacing w:after="0" w:line="240" w:lineRule="auto"/>
        <w:jc w:val="both"/>
        <w:rPr>
          <w:rFonts w:ascii="Calibri" w:hAnsi="Calibri" w:cs="Calibri"/>
          <w:lang w:val="en-US"/>
        </w:rPr>
      </w:pPr>
      <w:bookmarkStart w:id="361" w:name="_GoBack"/>
      <w:bookmarkEnd w:id="361"/>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right"/>
        <w:outlineLvl w:val="1"/>
        <w:rPr>
          <w:rFonts w:ascii="Calibri" w:hAnsi="Calibri" w:cs="Calibri"/>
        </w:rPr>
      </w:pPr>
      <w:bookmarkStart w:id="362" w:name="Par12019"/>
      <w:bookmarkEnd w:id="362"/>
      <w:r>
        <w:rPr>
          <w:rFonts w:ascii="Calibri" w:hAnsi="Calibri" w:cs="Calibri"/>
        </w:rPr>
        <w:t>Приложение N 8</w:t>
      </w:r>
    </w:p>
    <w:p w:rsidR="00C65754" w:rsidRDefault="00C65754">
      <w:pPr>
        <w:widowControl w:val="0"/>
        <w:autoSpaceDE w:val="0"/>
        <w:autoSpaceDN w:val="0"/>
        <w:adjustRightInd w:val="0"/>
        <w:spacing w:after="0" w:line="240" w:lineRule="auto"/>
        <w:jc w:val="right"/>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СБОРА ИНФОРМАЦИИ И МЕТОДИКЕ РАСЧЕТА ПОКАЗАТЕЛЯ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(ИНДИКАТОРА) ГОСУДАРСТВЕННОЙ ПРОГРАММЫ</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63" w:name="Par12025"/>
      <w:bookmarkEnd w:id="363"/>
      <w:r>
        <w:rPr>
          <w:rFonts w:ascii="Calibri" w:hAnsi="Calibri" w:cs="Calibri"/>
        </w:rPr>
        <w:t>Государственной программы в целом</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51"/>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Коваль И.Ю. - директор Департамента инвестиционной политики и развития частно-государственного партнерства,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651-79-70</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6"/>
        <w:gridCol w:w="3170"/>
        <w:gridCol w:w="6182"/>
      </w:tblGrid>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Позиция России в рейтинге Всемирного банка "Ведение бизнеса" (Doing Business)</w:t>
            </w: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место России в рейтинге</w:t>
            </w:r>
          </w:p>
        </w:tc>
      </w:tr>
      <w:tr w:rsidR="00C65754">
        <w:tblPrEx>
          <w:tblCellMar>
            <w:top w:w="0" w:type="dxa"/>
            <w:bottom w:w="0" w:type="dxa"/>
          </w:tblCellMar>
        </w:tblPrEx>
        <w:trPr>
          <w:tblCellSpacing w:w="5" w:type="nil"/>
        </w:trPr>
        <w:tc>
          <w:tcPr>
            <w:tcW w:w="476" w:type="dxa"/>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70"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на основании индекса легкости ведения бизнеса (индекс складывается на основании 10 индикаторов, каждый индикатор имеет равный вес)</w:t>
            </w:r>
          </w:p>
        </w:tc>
      </w:tr>
      <w:tr w:rsidR="00C65754">
        <w:tblPrEx>
          <w:tblCellMar>
            <w:top w:w="0" w:type="dxa"/>
            <w:bottom w:w="0" w:type="dxa"/>
          </w:tblCellMar>
        </w:tblPrEx>
        <w:trPr>
          <w:tblCellSpacing w:w="5" w:type="nil"/>
        </w:trPr>
        <w:tc>
          <w:tcPr>
            <w:tcW w:w="47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170"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Справочно индикаторы: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защита инвесторов, регистрация предприятий, регистрация собственности, получение разрешений на строительство, налогообложение, кредитование, международная торговля, подключение к системе электроснабжения, обеспечение исполнения контрактов, разрешение неплатежеспособности</w:t>
            </w: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w:t>
            </w:r>
            <w:r>
              <w:rPr>
                <w:rFonts w:ascii="Calibri" w:hAnsi="Calibri" w:cs="Calibri"/>
              </w:rPr>
              <w:lastRenderedPageBreak/>
              <w:t>показателю</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Рассчитывается путем учета реализуемых мер, направленных на улучшение условий ведения бизнеса, на основании методики Всемирного банка, применяемой для подготовки </w:t>
            </w:r>
            <w:r>
              <w:rPr>
                <w:rFonts w:ascii="Calibri" w:hAnsi="Calibri" w:cs="Calibri"/>
              </w:rPr>
              <w:lastRenderedPageBreak/>
              <w:t>ежегодного доклада Doing Business.</w:t>
            </w: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182"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(по состоянию на 1 октября)</w:t>
            </w: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реализованных мер и планов мероприятий по реализации мер.</w:t>
            </w:r>
          </w:p>
        </w:tc>
      </w:tr>
      <w:tr w:rsidR="00C65754">
        <w:tblPrEx>
          <w:tblCellMar>
            <w:top w:w="0" w:type="dxa"/>
            <w:bottom w:w="0" w:type="dxa"/>
          </w:tblCellMar>
        </w:tblPrEx>
        <w:trPr>
          <w:tblCellSpacing w:w="5" w:type="nil"/>
        </w:trPr>
        <w:tc>
          <w:tcPr>
            <w:tcW w:w="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182" w:type="dxa"/>
          </w:tcPr>
          <w:p w:rsidR="00C65754" w:rsidRDefault="00C65754">
            <w:pPr>
              <w:widowControl w:val="0"/>
              <w:autoSpaceDE w:val="0"/>
              <w:autoSpaceDN w:val="0"/>
              <w:adjustRightInd w:val="0"/>
              <w:spacing w:after="0" w:line="240" w:lineRule="auto"/>
              <w:jc w:val="center"/>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47"/>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4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3"/>
        <w:gridCol w:w="3240"/>
        <w:gridCol w:w="6175"/>
      </w:tblGrid>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1</w:t>
            </w:r>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2101" w:history="1">
              <w:r>
                <w:rPr>
                  <w:rFonts w:ascii="Calibri" w:hAnsi="Calibri" w:cs="Calibri"/>
                  <w:color w:val="0000FF"/>
                </w:rPr>
                <w:t>&lt;1&gt;</w:t>
              </w:r>
            </w:hyperlink>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соотношение среднесписочной численности работников (без внешних совместителей), занятых на микро, малых и средних предприятиях, и у индивидуальных предпринимателей, и общей численности занятого населения.</w:t>
            </w:r>
          </w:p>
        </w:tc>
      </w:tr>
      <w:tr w:rsidR="00C65754">
        <w:tblPrEx>
          <w:tblCellMar>
            <w:top w:w="0" w:type="dxa"/>
            <w:bottom w:w="0" w:type="dxa"/>
          </w:tblCellMar>
        </w:tblPrEx>
        <w:trPr>
          <w:tblCellSpacing w:w="5" w:type="nil"/>
        </w:trPr>
        <w:tc>
          <w:tcPr>
            <w:tcW w:w="473" w:type="dxa"/>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40"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2102" w:history="1">
              <w:r>
                <w:rPr>
                  <w:rFonts w:ascii="Calibri" w:hAnsi="Calibri" w:cs="Calibri"/>
                  <w:color w:val="0000FF"/>
                </w:rPr>
                <w:t>&lt;2&gt;</w:t>
              </w:r>
            </w:hyperlink>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 = (Микро + Малые + Средние + ИП) / Общую занятость</w:t>
            </w:r>
          </w:p>
        </w:tc>
      </w:tr>
      <w:tr w:rsidR="00C65754">
        <w:tblPrEx>
          <w:tblCellMar>
            <w:top w:w="0" w:type="dxa"/>
            <w:bottom w:w="0" w:type="dxa"/>
          </w:tblCellMar>
        </w:tblPrEx>
        <w:trPr>
          <w:tblCellSpacing w:w="5" w:type="nil"/>
        </w:trPr>
        <w:tc>
          <w:tcPr>
            <w:tcW w:w="473"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240"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 -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Микро - среднесписочная численность работников (без внешних совместителей), занятых на микропредприятиях;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 - среднесписочная численность работников (без внешних совместителей), занятых на малых предприятиях (без микропредприятий);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 - среднесписочная численность работников (без внешних совместителей), занятых на средних предприятиях;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ИП - количество индивидуальных предпринимателей, включая партнеров, наемных работников и помогающих членов семьи;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Общая занятость - общая численность занятого населения</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Вклад субъектов малого и среднего предпринимательства в общую занятость населения.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занятых на микро, малых и средних предприятиях (без внешних совместителей), и у зарегистрированных индивидуальных предпринимателей относительно общей численности занятого населения согласно данным, предоставляемым респондентами - крупными, средними, малыми предприятиями, индивидуальными предпринимателями, некоммерческими организациями и домашними хозяйствами.</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2103" w:history="1">
              <w:r>
                <w:rPr>
                  <w:rFonts w:ascii="Calibri" w:hAnsi="Calibri" w:cs="Calibri"/>
                  <w:color w:val="0000FF"/>
                </w:rPr>
                <w:t>&lt;3&gt;</w:t>
              </w:r>
            </w:hyperlink>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1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17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4" w:name="Par12101"/>
      <w:bookmarkEnd w:id="364"/>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5" w:name="Par12102"/>
      <w:bookmarkEnd w:id="365"/>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6" w:name="Par12103"/>
      <w:bookmarkEnd w:id="366"/>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730"/>
        <w:gridCol w:w="1744"/>
        <w:gridCol w:w="2254"/>
        <w:gridCol w:w="2434"/>
        <w:gridCol w:w="2655"/>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73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43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150" w:history="1">
              <w:r>
                <w:rPr>
                  <w:rFonts w:ascii="Calibri" w:hAnsi="Calibri" w:cs="Calibri"/>
                  <w:color w:val="0000FF"/>
                </w:rPr>
                <w:t>&lt;1&gt;</w:t>
              </w:r>
            </w:hyperlink>
          </w:p>
        </w:tc>
        <w:tc>
          <w:tcPr>
            <w:tcW w:w="265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151"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152"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3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Общая численность занятого населения</w:t>
            </w:r>
          </w:p>
        </w:tc>
        <w:tc>
          <w:tcPr>
            <w:tcW w:w="174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Общая занятость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43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Интегрированные расчеты на основе данных обследований и периодической отчетности</w:t>
            </w:r>
          </w:p>
        </w:tc>
        <w:tc>
          <w:tcPr>
            <w:tcW w:w="265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Организации, домашние хозяйства и другие</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 и метод сплошного массива</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7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 микропредприятиях</w:t>
            </w:r>
          </w:p>
        </w:tc>
        <w:tc>
          <w:tcPr>
            <w:tcW w:w="17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Микро</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43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27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 на малых предприятиях</w:t>
            </w:r>
          </w:p>
        </w:tc>
        <w:tc>
          <w:tcPr>
            <w:tcW w:w="17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43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работников (без внешних совместителей), занятых на средних предприятиях</w:t>
            </w:r>
          </w:p>
        </w:tc>
        <w:tc>
          <w:tcPr>
            <w:tcW w:w="17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43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 основного массива</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273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индивидуальных предпринимателей, включая партнеров, наемных работников и помогающих членов семьи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ИП</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43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предприниматели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7" w:name="Par12150"/>
      <w:bookmarkEnd w:id="367"/>
      <w:r>
        <w:rPr>
          <w:rFonts w:ascii="Calibri" w:hAnsi="Calibri" w:cs="Calibri"/>
        </w:rPr>
        <w:t xml:space="preserve">&lt;1&gt; 1 - периодическая отчетность; 2 - перепись; 3 - единовременное обследование (учет); 4 - бухгалтерская отчетность; 5 - финансовая отчетность; 6 </w:t>
      </w:r>
      <w:r>
        <w:rPr>
          <w:rFonts w:ascii="Calibri" w:hAnsi="Calibri" w:cs="Calibri"/>
        </w:rPr>
        <w:lastRenderedPageBreak/>
        <w:t>-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8" w:name="Par12151"/>
      <w:bookmarkEnd w:id="368"/>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69" w:name="Par12152"/>
      <w:bookmarkEnd w:id="36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98"/>
        <w:gridCol w:w="5347"/>
      </w:tblGrid>
      <w:tr w:rsidR="00C65754">
        <w:tblPrEx>
          <w:tblCellMar>
            <w:top w:w="0" w:type="dxa"/>
            <w:bottom w:w="0" w:type="dxa"/>
          </w:tblCellMar>
        </w:tblPrEx>
        <w:trPr>
          <w:tblCellSpacing w:w="5" w:type="nil"/>
        </w:trPr>
        <w:tc>
          <w:tcPr>
            <w:tcW w:w="43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4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43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Кирсанов М.В., заместитель директора Департамента государственного регулирования в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689"/>
        <w:gridCol w:w="6303"/>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3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30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632"/>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63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Наименования и </w:t>
            </w:r>
            <w:r>
              <w:rPr>
                <w:rFonts w:ascii="Calibri" w:hAnsi="Calibri" w:cs="Calibri"/>
              </w:rPr>
              <w:lastRenderedPageBreak/>
              <w:t>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Буквенное </w:t>
            </w:r>
            <w:r>
              <w:rPr>
                <w:rFonts w:ascii="Calibri" w:hAnsi="Calibri" w:cs="Calibri"/>
              </w:rPr>
              <w:lastRenderedPageBreak/>
              <w:t>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Орган исполнительной </w:t>
            </w:r>
            <w:r>
              <w:rPr>
                <w:rFonts w:ascii="Calibri" w:hAnsi="Calibri" w:cs="Calibri"/>
              </w:rPr>
              <w:lastRenderedPageBreak/>
              <w:t>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Метод сбора </w:t>
            </w:r>
            <w:r>
              <w:rPr>
                <w:rFonts w:ascii="Calibri" w:hAnsi="Calibri" w:cs="Calibri"/>
              </w:rPr>
              <w:lastRenderedPageBreak/>
              <w:t xml:space="preserve">информации, индекс формы отчетности </w:t>
            </w:r>
            <w:hyperlink w:anchor="Par12202" w:history="1">
              <w:r>
                <w:rPr>
                  <w:rFonts w:ascii="Calibri" w:hAnsi="Calibri" w:cs="Calibri"/>
                  <w:color w:val="0000FF"/>
                </w:rPr>
                <w:t>&lt;1&gt;</w:t>
              </w:r>
            </w:hyperlink>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Объект и </w:t>
            </w:r>
            <w:r>
              <w:rPr>
                <w:rFonts w:ascii="Calibri" w:hAnsi="Calibri" w:cs="Calibri"/>
              </w:rPr>
              <w:lastRenderedPageBreak/>
              <w:t xml:space="preserve">единица наблюдения </w:t>
            </w:r>
            <w:hyperlink w:anchor="Par12203"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Охват единиц </w:t>
            </w:r>
            <w:r>
              <w:rPr>
                <w:rFonts w:ascii="Calibri" w:hAnsi="Calibri" w:cs="Calibri"/>
              </w:rPr>
              <w:lastRenderedPageBreak/>
              <w:t xml:space="preserve">совокупности </w:t>
            </w:r>
            <w:hyperlink w:anchor="Par12204"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3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граждане Российской Федерации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0" w:name="Par12202"/>
      <w:bookmarkEnd w:id="37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1" w:name="Par12203"/>
      <w:bookmarkEnd w:id="371"/>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2" w:name="Par12204"/>
      <w:bookmarkEnd w:id="37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73" w:name="Par12206"/>
      <w:bookmarkEnd w:id="373"/>
      <w:r>
        <w:rPr>
          <w:rFonts w:ascii="Calibri" w:hAnsi="Calibri" w:cs="Calibri"/>
        </w:rPr>
        <w:t>Подпрограмма 1</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благоприятной инвестиционной среды"</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51"/>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651-78-61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
        <w:gridCol w:w="3872"/>
        <w:gridCol w:w="5731"/>
      </w:tblGrid>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 (New business density)</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в расчете на 1000 чел. населения в возрасте от 15 до 64 лет.</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Рассчитывается на основании методики Всемирного банка, применяемой для подготовки ежегодного доклада Doing Business.</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предоставляемых Всемирным Банком.</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7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73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51"/>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Коваль И.Ю. - директор Департамента инвестиционной политики и развития частно-государственного партнерства: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651-79-70</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8"/>
        <w:gridCol w:w="3522"/>
        <w:gridCol w:w="5702"/>
      </w:tblGrid>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Эффективность предоставления налоговые льгот (по опросам налогоплательщиков)</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компаний, положительно оценивающих эффективность налоговых льгот</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эффективность предоставления налоговых льгот (по опросам налогоплательщиков)</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F = A / N,</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A - количество компаний, положительно оценивших эффективность предоставления налоговых льгот,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N - общее число компаний, оценивших эффективность предоставления налоговых льгот. Определяется по итогам выборочного опроса налогоплательщиков</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опроса налогоплательщиков</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7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w:t>
            </w:r>
          </w:p>
        </w:tc>
      </w:tr>
      <w:tr w:rsidR="00C65754">
        <w:tblPrEx>
          <w:tblCellMar>
            <w:top w:w="0" w:type="dxa"/>
            <w:bottom w:w="0" w:type="dxa"/>
          </w:tblCellMar>
        </w:tblPrEx>
        <w:trPr>
          <w:tblCellSpacing w:w="5" w:type="nil"/>
        </w:trPr>
        <w:tc>
          <w:tcPr>
            <w:tcW w:w="5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70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164"/>
        <w:gridCol w:w="1744"/>
        <w:gridCol w:w="2805"/>
        <w:gridCol w:w="2434"/>
        <w:gridCol w:w="2753"/>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43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298" w:history="1">
              <w:r>
                <w:rPr>
                  <w:rFonts w:ascii="Calibri" w:hAnsi="Calibri" w:cs="Calibri"/>
                  <w:color w:val="0000FF"/>
                </w:rPr>
                <w:t>&lt;1&gt;</w:t>
              </w:r>
            </w:hyperlink>
          </w:p>
        </w:tc>
        <w:tc>
          <w:tcPr>
            <w:tcW w:w="2753"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299"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300"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компаний, положительно оценивших эффективность предоставления налоговых льгот</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43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2753"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Налогоплательщики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число компаний, оценивших эффективность предоставления налоговых льгот</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43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2753"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Налогоплательщики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4" w:name="Par12298"/>
      <w:bookmarkEnd w:id="374"/>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5" w:name="Par12299"/>
      <w:bookmarkEnd w:id="375"/>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6" w:name="Par12300"/>
      <w:bookmarkEnd w:id="376"/>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51"/>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ответственный за сбор и </w:t>
            </w:r>
            <w:r>
              <w:rPr>
                <w:rFonts w:ascii="Calibri" w:hAnsi="Calibri" w:cs="Calibri"/>
              </w:rPr>
              <w:lastRenderedPageBreak/>
              <w:t>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Соколов А.Г. - директор Департамента особых экономических зон и проектного финансирования,</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тел. (499) 795-66-47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2"/>
        <w:gridCol w:w="4155"/>
        <w:gridCol w:w="5517"/>
      </w:tblGrid>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резидентов ОЭЗ</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общую сумму инвестиций резидентов ОЭЗ, млрд. рублей</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01" type="#_x0000_t75" style="width:54.75pt;height:19.5pt">
                  <v:imagedata r:id="rId322" o:title=""/>
                </v:shape>
              </w:pict>
            </w:r>
            <w:r>
              <w:rPr>
                <w:rFonts w:ascii="Calibri" w:hAnsi="Calibri" w:cs="Calibri"/>
              </w:rPr>
              <w:t xml:space="preserve">, </w:t>
            </w:r>
            <w:r>
              <w:rPr>
                <w:rFonts w:ascii="Calibri" w:hAnsi="Calibri" w:cs="Calibri"/>
                <w:position w:val="-14"/>
              </w:rPr>
              <w:pict>
                <v:shape id="_x0000_i1102" type="#_x0000_t75" style="width:23.25pt;height:19.5pt">
                  <v:imagedata r:id="rId323" o:title=""/>
                </v:shape>
              </w:pict>
            </w:r>
            <w:r>
              <w:rPr>
                <w:rFonts w:ascii="Calibri" w:hAnsi="Calibri" w:cs="Calibri"/>
              </w:rPr>
              <w:t xml:space="preserve"> от 1 до n,</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n - количество резидентов ОЭЗ</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инвестициях резидентов ОЭЗ, млрд. рублей</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полугодие</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5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51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351" w:history="1">
              <w:r>
                <w:rPr>
                  <w:rFonts w:ascii="Calibri" w:hAnsi="Calibri" w:cs="Calibri"/>
                  <w:color w:val="0000FF"/>
                </w:rPr>
                <w:t>&lt;1&gt;</w:t>
              </w:r>
            </w:hyperlink>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352"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353"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Инвестиции резидентов ОЭЗ</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Финансовая отчетность</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Резиденты ОЭЗ</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7" w:name="Par12351"/>
      <w:bookmarkEnd w:id="377"/>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8" w:name="Par12352"/>
      <w:bookmarkEnd w:id="378"/>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79" w:name="Par12353"/>
      <w:bookmarkEnd w:id="379"/>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5351"/>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Соколов А.Г. - директор Департамента особых экономических зон и проектного финансирования,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(499) 795-66-47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615"/>
        <w:gridCol w:w="5673"/>
      </w:tblGrid>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товаров (услуг), произведенных (оказанных) резидентами ОЭЗ, выраженный в млрд. рублей</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общий объем товаров (услуг), произведенных (оказанных) резидентами ОЭЗ, млрд. руб.</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8"/>
              </w:rPr>
              <w:pict>
                <v:shape id="_x0000_i1103" type="#_x0000_t75" style="width:45.75pt;height:21.75pt">
                  <v:imagedata r:id="rId324" o:title=""/>
                </v:shape>
              </w:pict>
            </w:r>
            <w:r>
              <w:rPr>
                <w:rFonts w:ascii="Calibri" w:hAnsi="Calibri" w:cs="Calibri"/>
              </w:rPr>
              <w:t xml:space="preserve">, </w:t>
            </w:r>
            <w:r>
              <w:rPr>
                <w:rFonts w:ascii="Calibri" w:hAnsi="Calibri" w:cs="Calibri"/>
                <w:position w:val="-14"/>
              </w:rPr>
              <w:pict>
                <v:shape id="_x0000_i1104" type="#_x0000_t75" style="width:23.25pt;height:19.5pt">
                  <v:imagedata r:id="rId323" o:title=""/>
                </v:shape>
              </w:pict>
            </w:r>
            <w:r>
              <w:rPr>
                <w:rFonts w:ascii="Calibri" w:hAnsi="Calibri" w:cs="Calibri"/>
              </w:rPr>
              <w:t xml:space="preserve"> от 1 до n,</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n - количество резидентов ОЭЗ</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объемах товаров (услуг), произведенных (оказанных) субъектами малого и среднего предпринимательства, выраженных в млрд. рублей</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6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6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104"/>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404" w:history="1">
              <w:r>
                <w:rPr>
                  <w:rFonts w:ascii="Calibri" w:hAnsi="Calibri" w:cs="Calibri"/>
                  <w:color w:val="0000FF"/>
                </w:rPr>
                <w:t>&lt;1&gt;</w:t>
              </w:r>
            </w:hyperlink>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405" w:history="1">
              <w:r>
                <w:rPr>
                  <w:rFonts w:ascii="Calibri" w:hAnsi="Calibri" w:cs="Calibri"/>
                  <w:color w:val="0000FF"/>
                </w:rPr>
                <w:t>&lt;1&gt;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406" w:history="1">
              <w:r>
                <w:rPr>
                  <w:rFonts w:ascii="Calibri" w:hAnsi="Calibri" w:cs="Calibri"/>
                  <w:color w:val="0000FF"/>
                </w:rPr>
                <w:t>&lt;1&gt;</w:t>
              </w:r>
            </w:hyperlink>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0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Объем товаров </w:t>
            </w:r>
            <w:r>
              <w:rPr>
                <w:rFonts w:ascii="Calibri" w:hAnsi="Calibri" w:cs="Calibri"/>
              </w:rPr>
              <w:lastRenderedPageBreak/>
              <w:t>(услуг), произведенных (оказанных) резидентами ОЭЗ, млрд. руб.</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w:t>
            </w:r>
            <w:r>
              <w:rPr>
                <w:rFonts w:ascii="Calibri" w:hAnsi="Calibri" w:cs="Calibri"/>
              </w:rPr>
              <w:lastRenderedPageBreak/>
              <w:t>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Финансовая </w:t>
            </w:r>
            <w:r>
              <w:rPr>
                <w:rFonts w:ascii="Calibri" w:hAnsi="Calibri" w:cs="Calibri"/>
              </w:rPr>
              <w:lastRenderedPageBreak/>
              <w:t>отчетность</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Резиденты ОЭЗ</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Сплошное </w:t>
            </w:r>
            <w:r>
              <w:rPr>
                <w:rFonts w:ascii="Calibri" w:hAnsi="Calibri" w:cs="Calibri"/>
              </w:rPr>
              <w:lastRenderedPageBreak/>
              <w:t>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0" w:name="Par12404"/>
      <w:bookmarkEnd w:id="380"/>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1" w:name="Par12405"/>
      <w:bookmarkEnd w:id="381"/>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2" w:name="Par12406"/>
      <w:bookmarkEnd w:id="382"/>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82"/>
        <w:gridCol w:w="5678"/>
      </w:tblGrid>
      <w:tr w:rsidR="00C65754">
        <w:tblPrEx>
          <w:tblCellMar>
            <w:top w:w="0" w:type="dxa"/>
            <w:bottom w:w="0" w:type="dxa"/>
          </w:tblCellMar>
        </w:tblPrEx>
        <w:trPr>
          <w:tblCellSpacing w:w="5" w:type="nil"/>
        </w:trPr>
        <w:tc>
          <w:tcPr>
            <w:tcW w:w="49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7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w:t>
            </w:r>
          </w:p>
        </w:tc>
      </w:tr>
      <w:tr w:rsidR="00C65754">
        <w:tblPrEx>
          <w:tblCellMar>
            <w:top w:w="0" w:type="dxa"/>
            <w:bottom w:w="0" w:type="dxa"/>
          </w:tblCellMar>
        </w:tblPrEx>
        <w:trPr>
          <w:tblCellSpacing w:w="5" w:type="nil"/>
        </w:trPr>
        <w:tc>
          <w:tcPr>
            <w:tcW w:w="49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67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Сушкевич А.Г. - начальник Аналитического управления ФАС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(499) 252-04-29</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479"/>
        <w:gridCol w:w="5708"/>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показателя</w:t>
            </w:r>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антимонопольного законодательства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Единица измерения</w:t>
            </w:r>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Определение </w:t>
            </w:r>
            <w:hyperlink w:anchor="Par12444" w:history="1">
              <w:r>
                <w:rPr>
                  <w:rFonts w:ascii="Calibri" w:hAnsi="Calibri" w:cs="Calibri"/>
                  <w:color w:val="0000FF"/>
                </w:rPr>
                <w:t>&lt;1&gt;</w:t>
              </w:r>
            </w:hyperlink>
            <w:r>
              <w:rPr>
                <w:rFonts w:ascii="Calibri" w:hAnsi="Calibri" w:cs="Calibri"/>
              </w:rPr>
              <w:t xml:space="preserve"> показателя</w:t>
            </w:r>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устраненных нарушений антимонопольного законодательства к общему числу выявленных нарушений антимонопольного законодательства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2445" w:history="1">
              <w:r>
                <w:rPr>
                  <w:rFonts w:ascii="Calibri" w:hAnsi="Calibri" w:cs="Calibri"/>
                  <w:color w:val="0000FF"/>
                </w:rPr>
                <w:t>&lt;2&gt;</w:t>
              </w:r>
            </w:hyperlink>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 = Нус / Наз x 100%,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Нус - устраненные нарушения антимонопольного законодательства,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Наз - общее число выявленных нарушений антимонопольного законодательства,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 - доля устраненных нарушений в общем числе выявленных нарушений антимонопольного </w:t>
            </w:r>
            <w:r>
              <w:rPr>
                <w:rFonts w:ascii="Calibri" w:hAnsi="Calibri" w:cs="Calibri"/>
              </w:rPr>
              <w:lastRenderedPageBreak/>
              <w:t>законодательства. Показатель формируется на основе данных ведомственной периодической отчетности ФАС России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Наблюдаемые характеристики показателя</w:t>
            </w:r>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качества работы ФАС России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79"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Временные характеристики показателя </w:t>
            </w:r>
            <w:hyperlink w:anchor="Par12446" w:history="1">
              <w:r>
                <w:rPr>
                  <w:rFonts w:ascii="Calibri" w:hAnsi="Calibri" w:cs="Calibri"/>
                  <w:color w:val="0000FF"/>
                </w:rPr>
                <w:t>&lt;3&gt;</w:t>
              </w:r>
            </w:hyperlink>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7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70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3" w:name="Par12444"/>
      <w:bookmarkEnd w:id="383"/>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4" w:name="Par12445"/>
      <w:bookmarkEnd w:id="384"/>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5" w:name="Par12446"/>
      <w:bookmarkEnd w:id="385"/>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569"/>
        <w:gridCol w:w="1744"/>
        <w:gridCol w:w="2254"/>
        <w:gridCol w:w="2092"/>
        <w:gridCol w:w="2374"/>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56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471" w:history="1">
              <w:r>
                <w:rPr>
                  <w:rFonts w:ascii="Calibri" w:hAnsi="Calibri" w:cs="Calibri"/>
                  <w:color w:val="0000FF"/>
                </w:rPr>
                <w:t>&lt;1&gt;</w:t>
              </w:r>
            </w:hyperlink>
          </w:p>
        </w:tc>
        <w:tc>
          <w:tcPr>
            <w:tcW w:w="237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472"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473"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6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Устраненные нарушения антимонопольного законодательства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19.5pt;height:18.75pt">
                  <v:imagedata r:id="rId325" o:title=""/>
                </v:shape>
              </w:pic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37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Структурные подразделения центрального аппарата и территориальные управления ФАС России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56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число выявленных нарушений антимонопольного законодательства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8.75pt;height:18pt">
                  <v:imagedata r:id="rId326" o:title=""/>
                </v:shape>
              </w:pic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37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Структурные подразделения центрального аппарата и территориальные </w:t>
            </w:r>
            <w:r>
              <w:rPr>
                <w:rFonts w:ascii="Calibri" w:hAnsi="Calibri" w:cs="Calibri"/>
              </w:rPr>
              <w:lastRenderedPageBreak/>
              <w:t>управления ФАС России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6" w:name="Par12471"/>
      <w:bookmarkEnd w:id="386"/>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7" w:name="Par12472"/>
      <w:bookmarkEnd w:id="387"/>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8" w:name="Par12473"/>
      <w:bookmarkEnd w:id="388"/>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4"/>
        <w:gridCol w:w="5557"/>
      </w:tblGrid>
      <w:tr w:rsidR="00C65754">
        <w:tblPrEx>
          <w:tblCellMar>
            <w:top w:w="0" w:type="dxa"/>
            <w:bottom w:w="0" w:type="dxa"/>
          </w:tblCellMar>
        </w:tblPrEx>
        <w:trPr>
          <w:tblCellSpacing w:w="5" w:type="nil"/>
        </w:trPr>
        <w:tc>
          <w:tcPr>
            <w:tcW w:w="45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55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tc>
      </w:tr>
      <w:tr w:rsidR="00C65754">
        <w:tblPrEx>
          <w:tblCellMar>
            <w:top w:w="0" w:type="dxa"/>
            <w:bottom w:w="0" w:type="dxa"/>
          </w:tblCellMar>
        </w:tblPrEx>
        <w:trPr>
          <w:tblCellSpacing w:w="5" w:type="nil"/>
        </w:trPr>
        <w:tc>
          <w:tcPr>
            <w:tcW w:w="45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Живулин В.А. - директор Департамента оценки регулирующего воздействия,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697-82-15</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
        <w:gridCol w:w="4557"/>
        <w:gridCol w:w="5603"/>
      </w:tblGrid>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6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ОРВ с количественными оценками</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60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6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заключений об ОРВ с количественными оценками</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6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07" type="#_x0000_t75" style="width:82.5pt;height:30.75pt">
                  <v:imagedata r:id="rId327"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F - доля заключений об ОРВ с количественными оценками,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R - количество заключений с количественными оценками,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K - общее количество заключений</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603"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6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6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60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4"/>
        <w:gridCol w:w="5351"/>
      </w:tblGrid>
      <w:tr w:rsidR="00C65754">
        <w:tblPrEx>
          <w:tblCellMar>
            <w:top w:w="0" w:type="dxa"/>
            <w:bottom w:w="0" w:type="dxa"/>
          </w:tblCellMar>
        </w:tblPrEx>
        <w:trPr>
          <w:tblCellSpacing w:w="5" w:type="nil"/>
        </w:trPr>
        <w:tc>
          <w:tcPr>
            <w:tcW w:w="45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w:t>
            </w:r>
          </w:p>
        </w:tc>
      </w:tr>
      <w:tr w:rsidR="00C65754">
        <w:tblPrEx>
          <w:tblCellMar>
            <w:top w:w="0" w:type="dxa"/>
            <w:bottom w:w="0" w:type="dxa"/>
          </w:tblCellMar>
        </w:tblPrEx>
        <w:trPr>
          <w:tblCellSpacing w:w="5" w:type="nil"/>
        </w:trPr>
        <w:tc>
          <w:tcPr>
            <w:tcW w:w="45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Живулин В.А. - директор Департамента оценки регулирующего воздействия,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697-82-15</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
        <w:gridCol w:w="4041"/>
        <w:gridCol w:w="5715"/>
      </w:tblGrid>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проектов актов, по которым в рамках ОРВ разработчиками была проведена оценка альтернатив</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4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показателя</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проектов актов, по которым в рамках ОРВ разработчиками была проведена оценка альтернатив</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08" type="#_x0000_t75" style="width:82.5pt;height:30.75pt">
                  <v:imagedata r:id="rId327"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F - доля проектов актов, по которым проведена оценка альтернатив,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R - проектов актов, по которым проведена оценка альтернатив,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K - общее количество проектов актов</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715"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7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Ведомственный</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71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68"/>
        <w:gridCol w:w="5351"/>
      </w:tblGrid>
      <w:tr w:rsidR="00C65754">
        <w:tblPrEx>
          <w:tblCellMar>
            <w:top w:w="0" w:type="dxa"/>
            <w:bottom w:w="0" w:type="dxa"/>
          </w:tblCellMar>
        </w:tblPrEx>
        <w:trPr>
          <w:tblCellSpacing w:w="5" w:type="nil"/>
        </w:trPr>
        <w:tc>
          <w:tcPr>
            <w:tcW w:w="78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Росстат</w:t>
            </w:r>
          </w:p>
        </w:tc>
      </w:tr>
      <w:tr w:rsidR="00C65754">
        <w:tblPrEx>
          <w:tblCellMar>
            <w:top w:w="0" w:type="dxa"/>
            <w:bottom w:w="0" w:type="dxa"/>
          </w:tblCellMar>
        </w:tblPrEx>
        <w:trPr>
          <w:tblCellSpacing w:w="5" w:type="nil"/>
        </w:trPr>
        <w:tc>
          <w:tcPr>
            <w:tcW w:w="78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4551"/>
        <w:gridCol w:w="5589"/>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новых предприятий на 1000 человек</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58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новых предприятий на 1000 человек</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09" type="#_x0000_t75" style="width:36pt;height:30.75pt">
                  <v:imagedata r:id="rId328" o:title=""/>
                </v:shape>
              </w:pic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F - количество новых предприятий на 1000 человек,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 - количество зарегистрированных организаций,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 предположительная численность населения</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589"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58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776"/>
        <w:gridCol w:w="1744"/>
        <w:gridCol w:w="2254"/>
        <w:gridCol w:w="2092"/>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77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602" w:history="1">
              <w:r>
                <w:rPr>
                  <w:rFonts w:ascii="Calibri" w:hAnsi="Calibri" w:cs="Calibri"/>
                  <w:color w:val="0000FF"/>
                </w:rPr>
                <w:t>&lt;1&gt;</w:t>
              </w:r>
            </w:hyperlink>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603"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604"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7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зарегистрированных организаций</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З</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7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Предположительная численность населения</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Ч</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89" w:name="Par12602"/>
      <w:bookmarkEnd w:id="389"/>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0" w:name="Par12603"/>
      <w:bookmarkEnd w:id="390"/>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1" w:name="Par12604"/>
      <w:bookmarkEnd w:id="391"/>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4"/>
        <w:gridCol w:w="5351"/>
      </w:tblGrid>
      <w:tr w:rsidR="00C65754">
        <w:tblPrEx>
          <w:tblCellMar>
            <w:top w:w="0" w:type="dxa"/>
            <w:bottom w:w="0" w:type="dxa"/>
          </w:tblCellMar>
        </w:tblPrEx>
        <w:trPr>
          <w:tblCellSpacing w:w="5" w:type="nil"/>
        </w:trPr>
        <w:tc>
          <w:tcPr>
            <w:tcW w:w="46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w:t>
            </w:r>
            <w:r>
              <w:rPr>
                <w:rFonts w:ascii="Calibri" w:hAnsi="Calibri" w:cs="Calibri"/>
              </w:rPr>
              <w:lastRenderedPageBreak/>
              <w:t>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Минэкономразвития России</w:t>
            </w:r>
          </w:p>
        </w:tc>
      </w:tr>
      <w:tr w:rsidR="00C65754">
        <w:tblPrEx>
          <w:tblCellMar>
            <w:top w:w="0" w:type="dxa"/>
            <w:bottom w:w="0" w:type="dxa"/>
          </w:tblCellMar>
        </w:tblPrEx>
        <w:trPr>
          <w:tblCellSpacing w:w="5" w:type="nil"/>
        </w:trPr>
        <w:tc>
          <w:tcPr>
            <w:tcW w:w="46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953-12-58</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
        <w:gridCol w:w="3591"/>
        <w:gridCol w:w="5589"/>
      </w:tblGrid>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уровень конкуренции при осуществлении закупок для государственных и муниципальных нужд, а также эффективность процедур определения поставщика (подрядчика, исполнителя)</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частное от деления стоимости контрактов, заключенных с единственным поставщиком (подрядчиком, исполнителем) по результатам несостоявшихся конкурентных процедур), к суммарной стоимости всех заключенных контрактов, умноженное на 100%.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10" type="#_x0000_t75" style="width:134.25pt;height:19.5pt">
                  <v:imagedata r:id="rId329"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С -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11" type="#_x0000_t75" style="width:27.75pt;height:18pt">
                  <v:imagedata r:id="rId330" o:title=""/>
                </v:shape>
              </w:pict>
            </w:r>
            <w:r>
              <w:rPr>
                <w:rFonts w:ascii="Calibri" w:hAnsi="Calibri" w:cs="Calibri"/>
              </w:rPr>
              <w:t xml:space="preserve"> - стоимость контрактов, заключенных с единственным поставщиком (подрядчиком, исполнителем) в результате несостоявшихся конкурентных процедур;</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12" type="#_x0000_t75" style="width:26.25pt;height:18pt">
                  <v:imagedata r:id="rId331" o:title=""/>
                </v:shape>
              </w:pict>
            </w:r>
            <w:r>
              <w:rPr>
                <w:rFonts w:ascii="Calibri" w:hAnsi="Calibri" w:cs="Calibri"/>
              </w:rPr>
              <w:t xml:space="preserve"> - суммарная стоимость контрактов, заключенных по результатам всех осуществленных закупок</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осуществлении закупок для государственных нужд</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5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региональный уровни</w:t>
            </w:r>
          </w:p>
        </w:tc>
      </w:tr>
      <w:tr w:rsidR="00C65754">
        <w:tblPrEx>
          <w:tblCellMar>
            <w:top w:w="0" w:type="dxa"/>
            <w:bottom w:w="0" w:type="dxa"/>
          </w:tblCellMar>
        </w:tblPrEx>
        <w:trPr>
          <w:tblCellSpacing w:w="5" w:type="nil"/>
        </w:trPr>
        <w:tc>
          <w:tcPr>
            <w:tcW w:w="45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58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296"/>
        <w:gridCol w:w="1744"/>
        <w:gridCol w:w="2254"/>
        <w:gridCol w:w="2092"/>
        <w:gridCol w:w="1927"/>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665" w:history="1">
              <w:r>
                <w:rPr>
                  <w:rFonts w:ascii="Calibri" w:hAnsi="Calibri" w:cs="Calibri"/>
                  <w:color w:val="0000FF"/>
                </w:rPr>
                <w:t>&lt;1&gt;</w:t>
              </w:r>
            </w:hyperlink>
          </w:p>
        </w:tc>
        <w:tc>
          <w:tcPr>
            <w:tcW w:w="1927"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666"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667"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9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Стоимость контрактов, заключенных с единственным поставщиком (подрядчиком, исполнителем) в результате несостоявшихся конкурентных процедур</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27.75pt;height:18pt">
                  <v:imagedata r:id="rId330" o:title=""/>
                </v:shape>
              </w:pic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927"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Суммарная стоимость контрактов, заключенных по результатам всех осуществленных закупок</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26.25pt;height:18pt">
                  <v:imagedata r:id="rId331" o:title=""/>
                </v:shape>
              </w:pic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927"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2" w:name="Par12665"/>
      <w:bookmarkEnd w:id="392"/>
      <w:r>
        <w:rPr>
          <w:rFonts w:ascii="Calibri" w:hAnsi="Calibri" w:cs="Calibri"/>
        </w:rPr>
        <w:t xml:space="preserve">&lt;1&gt; 1 - периодическая отчетность; 2 - перепись; 3 - единовременное обследование (учет); 4 - бухгалтерская отчетность; 5 - финансовая отчетность; 6 </w:t>
      </w:r>
      <w:r>
        <w:rPr>
          <w:rFonts w:ascii="Calibri" w:hAnsi="Calibri" w:cs="Calibri"/>
        </w:rPr>
        <w:lastRenderedPageBreak/>
        <w:t>-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3" w:name="Par12666"/>
      <w:bookmarkEnd w:id="393"/>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4" w:name="Par12667"/>
      <w:bookmarkEnd w:id="394"/>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4"/>
        <w:gridCol w:w="5351"/>
      </w:tblGrid>
      <w:tr w:rsidR="00C65754">
        <w:tblPrEx>
          <w:tblCellMar>
            <w:top w:w="0" w:type="dxa"/>
            <w:bottom w:w="0" w:type="dxa"/>
          </w:tblCellMar>
        </w:tblPrEx>
        <w:trPr>
          <w:tblCellSpacing w:w="5" w:type="nil"/>
        </w:trPr>
        <w:tc>
          <w:tcPr>
            <w:tcW w:w="46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6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953-12-58</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718"/>
        <w:gridCol w:w="5931"/>
      </w:tblGrid>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количество участников, допущенных к конкурентным процедурам определения поставщиков (подрядчиков, исполнителей)</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среднее количество участников, допущенных к конкурентным способам определения поставщиков (подрядчиков, исполнителей)</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15" type="#_x0000_t75" style="width:117pt;height:19.5pt">
                  <v:imagedata r:id="rId332"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S - среднее количество участников, допущенных к конкурентным процедурам определения поставщиков (подрядчиков, исполнителей);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6" type="#_x0000_t75" style="width:27.75pt;height:18pt">
                  <v:imagedata r:id="rId333" o:title=""/>
                </v:shape>
              </w:pict>
            </w:r>
            <w:r>
              <w:rPr>
                <w:rFonts w:ascii="Calibri" w:hAnsi="Calibri" w:cs="Calibri"/>
              </w:rPr>
              <w:t xml:space="preserve"> - общее количество поданных заявок для участия в конкурентных процедурах определения поставщиков (подрядчиков, исполнителей);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17" type="#_x0000_t75" style="width:33.75pt;height:18pt">
                  <v:imagedata r:id="rId334" o:title=""/>
                </v:shape>
              </w:pict>
            </w:r>
            <w:r>
              <w:rPr>
                <w:rFonts w:ascii="Calibri" w:hAnsi="Calibri" w:cs="Calibri"/>
              </w:rPr>
              <w:t xml:space="preserve"> - количество недопущенных заявок для участия в конкурентных процедурах определения поставщиков (подрядчиков, исполнителей);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T - количество проведенных конкурентных процедур определения поставщиков (подрядчиков, исполнителей)</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Наблюдения осуществляются на основании сведений об осуществлении закупок для государственных нужд</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9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931"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региональный уровни</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93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70"/>
        <w:gridCol w:w="1744"/>
        <w:gridCol w:w="2254"/>
        <w:gridCol w:w="2092"/>
        <w:gridCol w:w="1927"/>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735" w:history="1">
              <w:r>
                <w:rPr>
                  <w:rFonts w:ascii="Calibri" w:hAnsi="Calibri" w:cs="Calibri"/>
                  <w:color w:val="0000FF"/>
                </w:rPr>
                <w:t>&lt;1&gt;</w:t>
              </w:r>
            </w:hyperlink>
          </w:p>
        </w:tc>
        <w:tc>
          <w:tcPr>
            <w:tcW w:w="1927"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736"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737"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207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поданных заявок для участия в конкурентных процедурах определения поставщиков (подрядчиков, исполнителей)</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27.75pt;height:18pt">
                  <v:imagedata r:id="rId333" o:title=""/>
                </v:shape>
              </w:pic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927"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07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недопущенных заявок для участия в конкурентных процедурах определения поставщиков (подрядчиков, исполнителей)</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3.75pt;height:18pt">
                  <v:imagedata r:id="rId334" o:title=""/>
                </v:shape>
              </w:pic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92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207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проведенных конкурентных процедур </w:t>
            </w:r>
            <w:r>
              <w:rPr>
                <w:rFonts w:ascii="Calibri" w:hAnsi="Calibri" w:cs="Calibri"/>
              </w:rPr>
              <w:lastRenderedPageBreak/>
              <w:t>определения поставщиков (подрядчиков, исполнителей)</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T</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927"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Федеральные, региональные заказчики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5" w:name="Par12735"/>
      <w:bookmarkEnd w:id="395"/>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6" w:name="Par12736"/>
      <w:bookmarkEnd w:id="396"/>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7" w:name="Par12737"/>
      <w:bookmarkEnd w:id="397"/>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62"/>
        <w:gridCol w:w="5351"/>
      </w:tblGrid>
      <w:tr w:rsidR="00C65754">
        <w:tblPrEx>
          <w:tblCellMar>
            <w:top w:w="0" w:type="dxa"/>
            <w:bottom w:w="0" w:type="dxa"/>
          </w:tblCellMar>
        </w:tblPrEx>
        <w:trPr>
          <w:tblCellSpacing w:w="5" w:type="nil"/>
        </w:trPr>
        <w:tc>
          <w:tcPr>
            <w:tcW w:w="60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60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Степанов К.И. - директор Департамента развития контрактной 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953-12-58</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650"/>
        <w:gridCol w:w="7221"/>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Среднемесячное количество уникальных пользователей единой информационной системы в сфере закупок</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функциональные возможности единой информационной системы в сфере закупок по обработке информации.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Позволяет оценить активность пользователей данной системы, нагрузку на нее, а также увеличение объема электронного документооборота в рамках федеральной контрактной системы</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Технологическими методами определяется количество уникальных пользователей за каждый месяц: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 2011 - 2013 годы - оператором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с 2014 года - оператором единой информационной системы в сфере закупок.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 полученных значений рассчитывается среднемесячное значение</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Наблюдаемые характеристики </w:t>
            </w:r>
            <w:r>
              <w:rPr>
                <w:rFonts w:ascii="Calibri" w:hAnsi="Calibri" w:cs="Calibri"/>
              </w:rPr>
              <w:lastRenderedPageBreak/>
              <w:t>показателя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Наблюдения осуществляются на основании сведений о ежемесячном </w:t>
            </w:r>
            <w:r>
              <w:rPr>
                <w:rFonts w:ascii="Calibri" w:hAnsi="Calibri" w:cs="Calibri"/>
              </w:rPr>
              <w:lastRenderedPageBreak/>
              <w:t>количестве уникальных пользователей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(с 2014 г. - единой информационной системы в сфере закупок)</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2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региональный уровни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22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398" w:name="Par12774"/>
      <w:bookmarkEnd w:id="398"/>
      <w:r>
        <w:rPr>
          <w:rFonts w:ascii="Calibri" w:hAnsi="Calibri" w:cs="Calibri"/>
        </w:rPr>
        <w:t>Подпрограмма 2</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41"/>
        <w:gridCol w:w="6679"/>
      </w:tblGrid>
      <w:tr w:rsidR="00C65754">
        <w:tblPrEx>
          <w:tblCellMar>
            <w:top w:w="0" w:type="dxa"/>
            <w:bottom w:w="0" w:type="dxa"/>
          </w:tblCellMar>
        </w:tblPrEx>
        <w:trPr>
          <w:tblCellSpacing w:w="5" w:type="nil"/>
        </w:trPr>
        <w:tc>
          <w:tcPr>
            <w:tcW w:w="4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6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r>
      <w:tr w:rsidR="00C65754">
        <w:tblPrEx>
          <w:tblCellMar>
            <w:top w:w="0" w:type="dxa"/>
            <w:bottom w:w="0" w:type="dxa"/>
          </w:tblCellMar>
        </w:tblPrEx>
        <w:trPr>
          <w:tblCellSpacing w:w="5" w:type="nil"/>
        </w:trPr>
        <w:tc>
          <w:tcPr>
            <w:tcW w:w="4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66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 тел. (495) 651-79-63</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4026"/>
        <w:gridCol w:w="6845"/>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2</w:t>
            </w:r>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показателя </w:t>
            </w:r>
            <w:hyperlink w:anchor="Par12815" w:history="1">
              <w:r>
                <w:rPr>
                  <w:rFonts w:ascii="Calibri" w:hAnsi="Calibri" w:cs="Calibri"/>
                  <w:color w:val="0000FF"/>
                </w:rPr>
                <w:t>&lt;1&gt;</w:t>
              </w:r>
            </w:hyperlink>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соотношение количества субъектов малого и среднего предпринимательства (включая индивидуальных предпринимателей) к общему количеству населения в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2816" w:history="1">
              <w:r>
                <w:rPr>
                  <w:rFonts w:ascii="Calibri" w:hAnsi="Calibri" w:cs="Calibri"/>
                  <w:color w:val="0000FF"/>
                </w:rPr>
                <w:t>&lt;2&gt;</w:t>
              </w:r>
            </w:hyperlink>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 (Микро + Малые + Средние + ИП) / (Численность населения / 1000)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 - количество субъектов малого и среднего предпринимательства (включая индивидуальных предпринимателей) в расчете на 1 тыс. </w:t>
            </w:r>
            <w:r>
              <w:rPr>
                <w:rFonts w:ascii="Calibri" w:hAnsi="Calibri" w:cs="Calibri"/>
              </w:rPr>
              <w:lastRenderedPageBreak/>
              <w:t>человек населения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Микро - количество микропредприятий;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 - количество малых предприятий;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 - количество средних предприятий;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ИП - численность индивидуальных предпринимателей </w:t>
            </w:r>
            <w:hyperlink w:anchor="Par12817" w:history="1">
              <w:r>
                <w:rPr>
                  <w:rFonts w:ascii="Calibri" w:hAnsi="Calibri" w:cs="Calibri"/>
                  <w:color w:val="0000FF"/>
                </w:rPr>
                <w:t>&lt;3&gt;</w:t>
              </w:r>
            </w:hyperlink>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 численность населения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согласно данным, предоставляемым Росстатом и ФНС России, относительно общего количества населения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2818" w:history="1">
              <w:r>
                <w:rPr>
                  <w:rFonts w:ascii="Calibri" w:hAnsi="Calibri" w:cs="Calibri"/>
                  <w:color w:val="0000FF"/>
                </w:rPr>
                <w:t>&lt;4&gt;</w:t>
              </w:r>
            </w:hyperlink>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84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399" w:name="Par12815"/>
      <w:bookmarkEnd w:id="399"/>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0" w:name="Par12816"/>
      <w:bookmarkEnd w:id="400"/>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1" w:name="Par12817"/>
      <w:bookmarkEnd w:id="401"/>
      <w:r>
        <w:rPr>
          <w:rFonts w:ascii="Calibri" w:hAnsi="Calibri" w:cs="Calibri"/>
        </w:rPr>
        <w:t>&lt;3&gt; Также, могут использоваться данные по зарегистрированным индивидуальным предпринимателям по данным ФНС России.</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2" w:name="Par12818"/>
      <w:bookmarkEnd w:id="402"/>
      <w:r>
        <w:rPr>
          <w:rFonts w:ascii="Calibri" w:hAnsi="Calibri" w:cs="Calibri"/>
        </w:rPr>
        <w:t>&lt;4&gt;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614"/>
        <w:gridCol w:w="1789"/>
        <w:gridCol w:w="2254"/>
        <w:gridCol w:w="2092"/>
        <w:gridCol w:w="2655"/>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8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отчетности </w:t>
            </w:r>
            <w:hyperlink w:anchor="Par12864" w:history="1">
              <w:r>
                <w:rPr>
                  <w:rFonts w:ascii="Calibri" w:hAnsi="Calibri" w:cs="Calibri"/>
                  <w:color w:val="0000FF"/>
                </w:rPr>
                <w:t>&lt;1&gt;</w:t>
              </w:r>
            </w:hyperlink>
          </w:p>
        </w:tc>
        <w:tc>
          <w:tcPr>
            <w:tcW w:w="265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Объект и единица наблюдения </w:t>
            </w:r>
            <w:hyperlink w:anchor="Par12865" w:history="1">
              <w:r>
                <w:rPr>
                  <w:rFonts w:ascii="Calibri" w:hAnsi="Calibri" w:cs="Calibri"/>
                  <w:color w:val="0000FF"/>
                </w:rPr>
                <w:t>&lt;2&gt;</w:t>
              </w:r>
            </w:hyperlink>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Охват единиц совокупности </w:t>
            </w:r>
            <w:hyperlink w:anchor="Par12866" w:history="1">
              <w:r>
                <w:rPr>
                  <w:rFonts w:ascii="Calibri" w:hAnsi="Calibri" w:cs="Calibri"/>
                  <w:color w:val="0000FF"/>
                </w:rPr>
                <w:t>&lt;3&gt;</w:t>
              </w:r>
            </w:hyperlink>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Российской Федерации</w:t>
            </w:r>
          </w:p>
        </w:tc>
        <w:tc>
          <w:tcPr>
            <w:tcW w:w="178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Население Российской Федерации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микропредприятий</w:t>
            </w:r>
          </w:p>
        </w:tc>
        <w:tc>
          <w:tcPr>
            <w:tcW w:w="17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Микро</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предприятий</w:t>
            </w:r>
          </w:p>
        </w:tc>
        <w:tc>
          <w:tcPr>
            <w:tcW w:w="17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средних предприятий</w:t>
            </w:r>
          </w:p>
        </w:tc>
        <w:tc>
          <w:tcPr>
            <w:tcW w:w="17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 основного массива</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Численность индивидуальных предпринимателей</w:t>
            </w:r>
          </w:p>
        </w:tc>
        <w:tc>
          <w:tcPr>
            <w:tcW w:w="178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ИП</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65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предприниматели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3" w:name="Par12864"/>
      <w:bookmarkEnd w:id="403"/>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4" w:name="Par12865"/>
      <w:bookmarkEnd w:id="404"/>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5" w:name="Par12866"/>
      <w:bookmarkEnd w:id="405"/>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76"/>
        <w:gridCol w:w="6444"/>
      </w:tblGrid>
      <w:tr w:rsidR="00C65754">
        <w:tblPrEx>
          <w:tblCellMar>
            <w:top w:w="0" w:type="dxa"/>
            <w:bottom w:w="0" w:type="dxa"/>
          </w:tblCellMar>
        </w:tblPrEx>
        <w:trPr>
          <w:tblCellSpacing w:w="5" w:type="nil"/>
        </w:trPr>
        <w:tc>
          <w:tcPr>
            <w:tcW w:w="4776"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4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77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64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w:t>
            </w:r>
          </w:p>
        </w:tc>
      </w:tr>
      <w:tr w:rsidR="00C65754">
        <w:tblPrEx>
          <w:tblCellMar>
            <w:top w:w="0" w:type="dxa"/>
            <w:bottom w:w="0" w:type="dxa"/>
          </w:tblCellMar>
        </w:tblPrEx>
        <w:trPr>
          <w:tblCellSpacing w:w="5" w:type="nil"/>
        </w:trPr>
        <w:tc>
          <w:tcPr>
            <w:tcW w:w="47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64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1"/>
        <w:gridCol w:w="3728"/>
        <w:gridCol w:w="7143"/>
      </w:tblGrid>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6</w:t>
            </w:r>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(ежегодно)</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w:t>
            </w:r>
            <w:hyperlink w:anchor="Par12905" w:history="1">
              <w:r>
                <w:rPr>
                  <w:rFonts w:ascii="Calibri" w:hAnsi="Calibri" w:cs="Calibri"/>
                  <w:color w:val="0000FF"/>
                </w:rPr>
                <w:t>&lt;1&gt;</w:t>
              </w:r>
            </w:hyperlink>
            <w:r>
              <w:rPr>
                <w:rFonts w:ascii="Calibri" w:hAnsi="Calibri" w:cs="Calibri"/>
              </w:rPr>
              <w:t xml:space="preserve"> показателя</w:t>
            </w:r>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общее количество получателей поддержки при реализации подпрограммы</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показателю </w:t>
            </w:r>
            <w:hyperlink w:anchor="Par12906" w:history="1">
              <w:r>
                <w:rPr>
                  <w:rFonts w:ascii="Calibri" w:hAnsi="Calibri" w:cs="Calibri"/>
                  <w:color w:val="0000FF"/>
                </w:rPr>
                <w:t>&lt;2&gt;</w:t>
              </w:r>
            </w:hyperlink>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S = (K1 + K2),</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S - сумма субъектов малого и среднего предпринимательства, получивших поддержку,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K1 - количество получателей поддержки при реализации ВЦП 2.1. "Финансовая программа поддержки малого и среднего предпринимательства",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K2 - количество предпринимателей, воспользовавшихся приоритетным правом выкупа арендуемого помещений в соответствии с Федеральным законом от 22 июля 2008 г. N 159-ФЗ "Об особенностях отчуждения </w:t>
            </w:r>
            <w:r>
              <w:rPr>
                <w:rFonts w:ascii="Calibri" w:hAnsi="Calibri" w:cs="Calibri"/>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предпринимателей, получателей поддержки</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показателя </w:t>
            </w:r>
            <w:hyperlink w:anchor="Par12907" w:history="1">
              <w:r>
                <w:rPr>
                  <w:rFonts w:ascii="Calibri" w:hAnsi="Calibri" w:cs="Calibri"/>
                  <w:color w:val="0000FF"/>
                </w:rPr>
                <w:t>&lt;3&gt;</w:t>
              </w:r>
            </w:hyperlink>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4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6" w:name="Par12905"/>
      <w:bookmarkEnd w:id="406"/>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7" w:name="Par12906"/>
      <w:bookmarkEnd w:id="407"/>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bookmarkStart w:id="408" w:name="Par12907"/>
      <w:bookmarkEnd w:id="408"/>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079"/>
        <w:gridCol w:w="1744"/>
        <w:gridCol w:w="2805"/>
        <w:gridCol w:w="2092"/>
        <w:gridCol w:w="295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307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95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7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Сумма субъектов малого и среднего предпринимательства, получивших поддержку</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S</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95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Субъекты малого и среднего предпринимательства</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получателей поддержки при реализации ВЦП 2.1. "Финансовая программа поддержки малого и среднего предпринимательства"</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K1</w:t>
            </w:r>
          </w:p>
        </w:tc>
        <w:tc>
          <w:tcPr>
            <w:tcW w:w="2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9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Субъекты малого и среднего предпринимательства</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07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предпринимателей, воспользовавшихся приоритетным правом выкупа арендуемого помещений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K2</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Росреестр</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95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Субъекты малого и среднего предпринимательства</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76"/>
        <w:gridCol w:w="6444"/>
      </w:tblGrid>
      <w:tr w:rsidR="00C65754">
        <w:tblPrEx>
          <w:tblCellMar>
            <w:top w:w="0" w:type="dxa"/>
            <w:bottom w:w="0" w:type="dxa"/>
          </w:tblCellMar>
        </w:tblPrEx>
        <w:trPr>
          <w:tblCellSpacing w:w="5" w:type="nil"/>
        </w:trPr>
        <w:tc>
          <w:tcPr>
            <w:tcW w:w="47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4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Минэкономразвития России</w:t>
            </w:r>
          </w:p>
        </w:tc>
      </w:tr>
      <w:tr w:rsidR="00C65754">
        <w:tblPrEx>
          <w:tblCellMar>
            <w:top w:w="0" w:type="dxa"/>
            <w:bottom w:w="0" w:type="dxa"/>
          </w:tblCellMar>
        </w:tblPrEx>
        <w:trPr>
          <w:tblCellSpacing w:w="5" w:type="nil"/>
        </w:trPr>
        <w:tc>
          <w:tcPr>
            <w:tcW w:w="47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64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Ларионова Н.И. - директор Департамента развития малого и среднего предпринимательства и конкуренции Минэкономразвития России;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651-79-63</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717"/>
        <w:gridCol w:w="7154"/>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 N 5</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тысячах</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в сфере малого и среднего предпринимательства в результате реализации подпрограммы</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является отчетным. Отчет предоставляется субъектами Российской Федерации, принимающими участие в реализации подпрограммы, отчетная форма утверждена приказом Минэкономразвития России от 18.04.2011 N 176 "Об утверждении формы и сроков представления отчета о достижении значений целевых показателей эффективности осуществления расходов бюджетов субъектов Российской Федерации, источником финансового обеспечения которых является субсидия"</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Созданные рабочие места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5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959"/>
        <w:gridCol w:w="1744"/>
        <w:gridCol w:w="2805"/>
        <w:gridCol w:w="2092"/>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95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5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в </w:t>
            </w:r>
            <w:r>
              <w:rPr>
                <w:rFonts w:ascii="Calibri" w:hAnsi="Calibri" w:cs="Calibri"/>
              </w:rPr>
              <w:lastRenderedPageBreak/>
              <w:t>секторе малого и среднего предпринимательства при реализации подпрограммы</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w:t>
            </w:r>
          </w:p>
        </w:tc>
        <w:tc>
          <w:tcPr>
            <w:tcW w:w="209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Субъекты Российской Федерации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09" w:name="Par12995"/>
      <w:bookmarkEnd w:id="409"/>
      <w:r>
        <w:rPr>
          <w:rFonts w:ascii="Calibri" w:hAnsi="Calibri" w:cs="Calibri"/>
        </w:rPr>
        <w:t>Подпрограмма 3</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благоприятных условий для развития</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рынка недвижимости"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97"/>
        <w:gridCol w:w="5623"/>
      </w:tblGrid>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И.о.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526-76-52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3805"/>
        <w:gridCol w:w="7066"/>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отношение количества запросов о предоставлении сведений о зарегистрированных правах на недвижимое имущество и сделок с ним и сведений, внесенных в государственный кадастр недвижимости, поступивших в подведомственные Росреестру организации на всей территории Российской Федерации в электронном </w:t>
            </w:r>
            <w:r>
              <w:rPr>
                <w:rFonts w:ascii="Calibri" w:hAnsi="Calibri" w:cs="Calibri"/>
              </w:rPr>
              <w:lastRenderedPageBreak/>
              <w:t>виде с использованием информационно-коммуникационных сетей общего доступа, а также с использованием средств автоматизации в процентах от общего количества поступивших запросов о предоставлении сведений</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(ЕГРПЭ + ГКНЭ) / (ЕГРП + ГКН) x 100, где ЕГРП - общее количество поступивших запросов о предоставлении сведений о зарегистрированных правах на недвижимое имущество и сделок с ним в электронной форме;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ГКН - общее количество запросов о предоставлении сведений, внесенных в государственный кадастр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ЕГРПЭ - общее количество поступивших запросов о предоставлении сведений о зарегистрированных правах на недвижимое имущество и сделок с ним в электронной форме;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ГКНЭ - общее количество запросов о предоставлении сведений, внесенных в государственный кадастр недвижимости в электронной форме</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Использование электронных услуг при постановке объектов недвижимости на государственный кадастровый учет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Сбор базовых показателей осуществляется в соответствии с приказом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8"/>
        <w:gridCol w:w="2776"/>
        <w:gridCol w:w="1744"/>
        <w:gridCol w:w="2419"/>
        <w:gridCol w:w="1924"/>
        <w:gridCol w:w="2419"/>
        <w:gridCol w:w="1905"/>
      </w:tblGrid>
      <w:tr w:rsidR="00C65754">
        <w:tblPrEx>
          <w:tblCellMar>
            <w:top w:w="0" w:type="dxa"/>
            <w:bottom w:w="0" w:type="dxa"/>
          </w:tblCellMar>
        </w:tblPrEx>
        <w:trPr>
          <w:tblCellSpacing w:w="5" w:type="nil"/>
        </w:trPr>
        <w:tc>
          <w:tcPr>
            <w:tcW w:w="608"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77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Наименованиt и определениt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92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608"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запросов о предоставлении сведений о зарегистрированных правах на недвижимое имущество и сделок с ним</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ЕГРП</w:t>
            </w:r>
          </w:p>
        </w:tc>
        <w:tc>
          <w:tcPr>
            <w:tcW w:w="241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192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241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2776"/>
        <w:gridCol w:w="1744"/>
        <w:gridCol w:w="2419"/>
        <w:gridCol w:w="1924"/>
        <w:gridCol w:w="2419"/>
        <w:gridCol w:w="1905"/>
      </w:tblGrid>
      <w:tr w:rsidR="00C65754">
        <w:tblPrEx>
          <w:tblCellMar>
            <w:top w:w="0" w:type="dxa"/>
            <w:bottom w:w="0" w:type="dxa"/>
          </w:tblCellMar>
        </w:tblPrEx>
        <w:trPr>
          <w:tblCellSpacing w:w="5" w:type="nil"/>
        </w:trPr>
        <w:tc>
          <w:tcPr>
            <w:tcW w:w="59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77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92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94" w:type="dxa"/>
            <w:tcBorders>
              <w:top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277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поступивших запросов о </w:t>
            </w:r>
            <w:r>
              <w:rPr>
                <w:rFonts w:ascii="Calibri" w:hAnsi="Calibri" w:cs="Calibri"/>
              </w:rPr>
              <w:lastRenderedPageBreak/>
              <w:t>предоставлении сведений о зарегистрированных правах на недвижимое имущество и сделок с ним в электронной форме</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ЕГРПЭ</w:t>
            </w:r>
          </w:p>
        </w:tc>
        <w:tc>
          <w:tcPr>
            <w:tcW w:w="241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w:t>
            </w:r>
            <w:r>
              <w:rPr>
                <w:rFonts w:ascii="Calibri" w:hAnsi="Calibri" w:cs="Calibri"/>
              </w:rPr>
              <w:lastRenderedPageBreak/>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192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Ежемесячный отчет</w:t>
            </w:r>
          </w:p>
        </w:tc>
        <w:tc>
          <w:tcPr>
            <w:tcW w:w="241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w:t>
            </w:r>
            <w:r>
              <w:rPr>
                <w:rFonts w:ascii="Calibri" w:hAnsi="Calibri" w:cs="Calibri"/>
              </w:rPr>
              <w:lastRenderedPageBreak/>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594"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w:t>
            </w:r>
          </w:p>
        </w:tc>
        <w:tc>
          <w:tcPr>
            <w:tcW w:w="277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запросов о предоставлении сведений, внесенных в государственный кадастр недвижимости в электронной форме</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ГКНЭ</w:t>
            </w:r>
          </w:p>
        </w:tc>
        <w:tc>
          <w:tcPr>
            <w:tcW w:w="241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192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241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97"/>
        <w:gridCol w:w="5623"/>
      </w:tblGrid>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И.о.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526-76-52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3805"/>
        <w:gridCol w:w="7066"/>
      </w:tblGrid>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заявлений о государственном кадастровом учете, поступивших в подведомственные Росреестру организации на всей территории Российской Федерации в электронном виде с использованием информационно-коммуникационных сетей общего доступа, а также с использованием средств автоматизации в процентах от общего количества поступивших заявлений о государственном кадастровом учете</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ЭГКУ / ОГКУ,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ОГКУ - общее количество поступивших заявлений о государственном кадастровом учете;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ЭГКУ - общее количество поступивших заявлений о государственном кадастровом учете в электронной форме.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формируется на основе данных, получаемых из автоматизированной информационной системы государственный кадастр недвижимости (АИС ГКН) и ведомственной формы статистической отчетности N 1-ЗК</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поступивших в электронной форме заявлений о государственном кадастровом учете</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6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Сбор данного показателя осуществляется в соответствии с приказом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
        <w:gridCol w:w="2332"/>
        <w:gridCol w:w="1744"/>
        <w:gridCol w:w="2419"/>
        <w:gridCol w:w="1924"/>
        <w:gridCol w:w="2419"/>
        <w:gridCol w:w="1905"/>
      </w:tblGrid>
      <w:tr w:rsidR="00C65754">
        <w:tblPrEx>
          <w:tblCellMar>
            <w:top w:w="0" w:type="dxa"/>
            <w:bottom w:w="0" w:type="dxa"/>
          </w:tblCellMar>
        </w:tblPrEx>
        <w:trPr>
          <w:tblCellSpacing w:w="5" w:type="nil"/>
        </w:trPr>
        <w:tc>
          <w:tcPr>
            <w:tcW w:w="63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33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92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4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&lt;64&gt;</w:t>
            </w:r>
          </w:p>
        </w:tc>
      </w:tr>
      <w:tr w:rsidR="00C65754">
        <w:tblPrEx>
          <w:tblCellMar>
            <w:top w:w="0" w:type="dxa"/>
            <w:bottom w:w="0" w:type="dxa"/>
          </w:tblCellMar>
        </w:tblPrEx>
        <w:trPr>
          <w:tblCellSpacing w:w="5" w:type="nil"/>
        </w:trPr>
        <w:tc>
          <w:tcPr>
            <w:tcW w:w="63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3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заявлений о государственном кадастровом учете</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ОГКУ</w:t>
            </w:r>
          </w:p>
        </w:tc>
        <w:tc>
          <w:tcPr>
            <w:tcW w:w="241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192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241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w:t>
            </w:r>
            <w:r>
              <w:rPr>
                <w:rFonts w:ascii="Calibri" w:hAnsi="Calibri" w:cs="Calibri"/>
              </w:rPr>
              <w:lastRenderedPageBreak/>
              <w:t>кадастровый учет недвижимого имущества</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C65754">
        <w:tblPrEx>
          <w:tblCellMar>
            <w:top w:w="0" w:type="dxa"/>
            <w:bottom w:w="0" w:type="dxa"/>
          </w:tblCellMar>
        </w:tblPrEx>
        <w:trPr>
          <w:tblCellSpacing w:w="5" w:type="nil"/>
        </w:trPr>
        <w:tc>
          <w:tcPr>
            <w:tcW w:w="63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33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заявлений о государственном кадастровом учете в электронной форме</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ЭГКУ</w:t>
            </w:r>
          </w:p>
        </w:tc>
        <w:tc>
          <w:tcPr>
            <w:tcW w:w="241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tc>
        <w:tc>
          <w:tcPr>
            <w:tcW w:w="192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Ежемесячный отчет</w:t>
            </w:r>
          </w:p>
        </w:tc>
        <w:tc>
          <w:tcPr>
            <w:tcW w:w="241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органы Росреестра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 - государственный кадастровый учет недвижимого имущества</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43"/>
        <w:gridCol w:w="6877"/>
      </w:tblGrid>
      <w:tr w:rsidR="00C65754">
        <w:tblPrEx>
          <w:tblCellMar>
            <w:top w:w="0" w:type="dxa"/>
            <w:bottom w:w="0" w:type="dxa"/>
          </w:tblCellMar>
        </w:tblPrEx>
        <w:trPr>
          <w:tblCellSpacing w:w="5" w:type="nil"/>
        </w:trPr>
        <w:tc>
          <w:tcPr>
            <w:tcW w:w="4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8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8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Босалаева Екатерина Викторовна, заместитель начальника отдела анализа информации и государственного мониторинга земель Управления государственного геодезического и земельного надзора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(499) 124-33-94</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2"/>
        <w:gridCol w:w="3739"/>
        <w:gridCol w:w="7132"/>
      </w:tblGrid>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увеличение общей площади изученности использования и состояния земель, а также увеличение площади земель, на которые разработаны прогнозы и даны рекомендации по предупреждению и устранению негативных процессов в процентах к предыдущему году</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общей площади изученности использования и состояния земель в процентах к предыдущему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((Пизк - Пизн) / Пизн) x 100.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площади земель, на которые разработаны прогнозы и даны рекомендации по предупреждению и устранению негативных процессов в процентах к предыдущему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((Пзк - Пзн) / Пзн) * 100;</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Пизн - площадь земель, на которых осуществлены работы по изучению состояния земель на начало отчетного периода;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Пизк - площадь земель, на которых осуществлены работы по изучению состояния земель на конец отчетного периода;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Пзн - площадь земель, на которые разработаны прогнозы и даны рекомендации по предупреждению и устранению негативных процессов на начало отчетного периода;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Пзк - площадь земель, на которые разработаны прогнозы и даны рекомендации по предупреждению и устранению негативных процессов на конец отчетного периода</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 всем категориям земель за исключением земель сельскохозяйственного назначения, на всей территории Российской Федерации</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характеристики, </w:t>
            </w:r>
            <w:r>
              <w:rPr>
                <w:rFonts w:ascii="Calibri" w:hAnsi="Calibri" w:cs="Calibri"/>
              </w:rPr>
              <w:lastRenderedPageBreak/>
              <w:t>необходимые для описания показателя</w:t>
            </w:r>
          </w:p>
        </w:tc>
        <w:tc>
          <w:tcPr>
            <w:tcW w:w="71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Знание оперативной информации по изученности состояния и </w:t>
            </w:r>
            <w:r>
              <w:rPr>
                <w:rFonts w:ascii="Calibri" w:hAnsi="Calibri" w:cs="Calibri"/>
              </w:rPr>
              <w:lastRenderedPageBreak/>
              <w:t>использования земель за расчетный год</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2359"/>
        <w:gridCol w:w="1744"/>
        <w:gridCol w:w="2374"/>
        <w:gridCol w:w="2092"/>
        <w:gridCol w:w="3124"/>
        <w:gridCol w:w="1905"/>
      </w:tblGrid>
      <w:tr w:rsidR="00C65754">
        <w:tblPrEx>
          <w:tblCellMar>
            <w:top w:w="0" w:type="dxa"/>
            <w:bottom w:w="0" w:type="dxa"/>
          </w:tblCellMar>
        </w:tblPrEx>
        <w:trPr>
          <w:tblCellSpacing w:w="5" w:type="nil"/>
        </w:trPr>
        <w:tc>
          <w:tcPr>
            <w:tcW w:w="59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35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37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312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9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5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которых осуществлены работы по изучению состояния земель на начало отчетного периода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Пизн</w:t>
            </w:r>
          </w:p>
        </w:tc>
        <w:tc>
          <w:tcPr>
            <w:tcW w:w="237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 и его территориальные органы</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312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754">
        <w:tblPrEx>
          <w:tblCellMar>
            <w:top w:w="0" w:type="dxa"/>
            <w:bottom w:w="0" w:type="dxa"/>
          </w:tblCellMar>
        </w:tblPrEx>
        <w:trPr>
          <w:tblCellSpacing w:w="5" w:type="nil"/>
        </w:trPr>
        <w:tc>
          <w:tcPr>
            <w:tcW w:w="5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которых осуществлены работы по изучению состояния земель на конец отчетного периода</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Пизк</w:t>
            </w:r>
          </w:p>
        </w:tc>
        <w:tc>
          <w:tcPr>
            <w:tcW w:w="237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 и его территориальные органы</w:t>
            </w:r>
          </w:p>
        </w:tc>
        <w:tc>
          <w:tcPr>
            <w:tcW w:w="209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312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754">
        <w:tblPrEx>
          <w:tblCellMar>
            <w:top w:w="0" w:type="dxa"/>
            <w:bottom w:w="0" w:type="dxa"/>
          </w:tblCellMar>
        </w:tblPrEx>
        <w:trPr>
          <w:tblCellSpacing w:w="5" w:type="nil"/>
        </w:trPr>
        <w:tc>
          <w:tcPr>
            <w:tcW w:w="5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 на которые разработаны прогнозы и даны рекомендации по предупреждению и устранению негативных процессов </w:t>
            </w:r>
            <w:r>
              <w:rPr>
                <w:rFonts w:ascii="Calibri" w:hAnsi="Calibri" w:cs="Calibri"/>
              </w:rPr>
              <w:lastRenderedPageBreak/>
              <w:t>на начало отчетного периода</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Пзн</w:t>
            </w:r>
          </w:p>
        </w:tc>
        <w:tc>
          <w:tcPr>
            <w:tcW w:w="237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 и его территориальные органы</w:t>
            </w:r>
          </w:p>
        </w:tc>
        <w:tc>
          <w:tcPr>
            <w:tcW w:w="209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312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754">
        <w:tblPrEx>
          <w:tblCellMar>
            <w:top w:w="0" w:type="dxa"/>
            <w:bottom w:w="0" w:type="dxa"/>
          </w:tblCellMar>
        </w:tblPrEx>
        <w:trPr>
          <w:tblCellSpacing w:w="5" w:type="nil"/>
        </w:trPr>
        <w:tc>
          <w:tcPr>
            <w:tcW w:w="59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35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земель, на которые разработаны прогнозы и даны рекомендации по предупреждению и устранению негативных процессов на конец отчетного периода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Пзк</w:t>
            </w:r>
          </w:p>
        </w:tc>
        <w:tc>
          <w:tcPr>
            <w:tcW w:w="237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Росреестр и его территориальные органы</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312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Российской Федерации, административно-территориальные образования, категории земель, за исключением земель сельскохозяйственного назначения</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1"/>
        <w:gridCol w:w="6839"/>
      </w:tblGrid>
      <w:tr w:rsidR="00C65754">
        <w:tblPrEx>
          <w:tblCellMar>
            <w:top w:w="0" w:type="dxa"/>
            <w:bottom w:w="0" w:type="dxa"/>
          </w:tblCellMar>
        </w:tblPrEx>
        <w:trPr>
          <w:tblCellSpacing w:w="5" w:type="nil"/>
        </w:trPr>
        <w:tc>
          <w:tcPr>
            <w:tcW w:w="438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38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Калихова Ирина Викторовна, заместитель начальника отдела инфраструктуры пространственных данных Управления картографии и инфраструктуры пространственных данных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(499) 124-36-29</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5"/>
        <w:gridCol w:w="3635"/>
        <w:gridCol w:w="7236"/>
      </w:tblGrid>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как средневесовое значение частных показателей, полученных для территории Российской Федерации, подлежащей покрытию цифровыми топографическими картами открытого пользования (далее - ЦТК ОП) в плановом порядке по масштабам 1:25000, 1:50000, </w:t>
            </w:r>
            <w:r>
              <w:rPr>
                <w:rFonts w:ascii="Calibri" w:hAnsi="Calibri" w:cs="Calibri"/>
              </w:rPr>
              <w:lastRenderedPageBreak/>
              <w:t>1:100000</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уровня обеспеченности территории Российской Федерации масштабов 1:25000, 1:50000; 1:100000 определяется по формуле: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20" type="#_x0000_t75" style="width:170.25pt;height:33.75pt">
                  <v:imagedata r:id="rId335"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где </w:t>
            </w:r>
            <w:r>
              <w:rPr>
                <w:rFonts w:ascii="Calibri" w:hAnsi="Calibri" w:cs="Calibri"/>
              </w:rPr>
              <w:pict>
                <v:shape id="_x0000_i1121" type="#_x0000_t75" style="width:36pt;height:18.75pt">
                  <v:imagedata r:id="rId336" o:title=""/>
                </v:shape>
              </w:pict>
            </w:r>
            <w:r>
              <w:rPr>
                <w:rFonts w:ascii="Calibri" w:hAnsi="Calibri" w:cs="Calibri"/>
              </w:rPr>
              <w:t xml:space="preserve"> - уровень обеспеченности территории Российской Федерации ЦТК ОП с минимальным сроком соответствия не более 5 лет по масштабам 1:25000 - 1:100000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Sn - площадь территории Российской Федерации, обеспеченная ЦТК ОП с минимальным сроком соответствия не более 5 лет соответствующих масштабов (кв. км);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22" type="#_x0000_t75" style="width:18pt;height:18.75pt">
                  <v:imagedata r:id="rId337" o:title=""/>
                </v:shape>
              </w:pict>
            </w:r>
            <w:r>
              <w:rPr>
                <w:rFonts w:ascii="Calibri" w:hAnsi="Calibri" w:cs="Calibri"/>
              </w:rPr>
              <w:t xml:space="preserve"> - площадь территории Российской Федерации (кв. км);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n - количество соответствующих масштабов ЦТК ОП, от 1 до 3;</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характеризует возможность обеспечения потребностей государства, различных отраслей экономики актуальной цифровой картографической продукцией</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Охват территории Российской Федерации ЦТК ОП масштабов 1:25000, 1:50000, 1:100000</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2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номенклатурных листов цифровых топографических карт открытого пользования масштабов 1:25000, 1:50000; 1:100000</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2440"/>
        <w:gridCol w:w="1744"/>
        <w:gridCol w:w="2296"/>
        <w:gridCol w:w="2092"/>
        <w:gridCol w:w="2254"/>
        <w:gridCol w:w="1905"/>
      </w:tblGrid>
      <w:tr w:rsidR="00C65754">
        <w:tblPrEx>
          <w:tblCellMar>
            <w:top w:w="0" w:type="dxa"/>
            <w:bottom w:w="0" w:type="dxa"/>
          </w:tblCellMar>
        </w:tblPrEx>
        <w:trPr>
          <w:tblCellSpacing w:w="5" w:type="nil"/>
        </w:trPr>
        <w:tc>
          <w:tcPr>
            <w:tcW w:w="59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44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9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4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Российской Федерации, обеспеченная ЦТК ОП с минимальным сроком соответствия не более 5 лет масштаба 1:25000 (кв. км)</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Snl</w: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Российской Федерации, обеспеченная ЦТК ОП с минимальным сроком соответствия не более 5 лет масштаба 1:50000 (кв. км)</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Sn2</w:t>
            </w:r>
          </w:p>
        </w:tc>
        <w:tc>
          <w:tcPr>
            <w:tcW w:w="229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Российской Федерации, обеспеченная ЦТК ОП с минимальным сроком соответствия не более 5 лет масштаба 1:100000 (кв. км)</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Sn3</w:t>
            </w:r>
          </w:p>
        </w:tc>
        <w:tc>
          <w:tcPr>
            <w:tcW w:w="229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9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4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соответствующих масштабов ЦТК ОП, от 1 до 3</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1 - периодическая отчетность; 2 - перепись; 3 - единовременное обследование (учет); 4 - бухгалтерская отчетность; 5 - финансовая отчетность; 6 </w:t>
      </w:r>
      <w:r>
        <w:rPr>
          <w:rFonts w:ascii="Calibri" w:hAnsi="Calibri" w:cs="Calibri"/>
        </w:rPr>
        <w:lastRenderedPageBreak/>
        <w:t>-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5"/>
        <w:gridCol w:w="5695"/>
      </w:tblGrid>
      <w:tr w:rsidR="00C65754">
        <w:tblPrEx>
          <w:tblCellMar>
            <w:top w:w="0" w:type="dxa"/>
            <w:bottom w:w="0" w:type="dxa"/>
          </w:tblCellMar>
        </w:tblPrEx>
        <w:trPr>
          <w:tblCellSpacing w:w="5" w:type="nil"/>
        </w:trPr>
        <w:tc>
          <w:tcPr>
            <w:tcW w:w="55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5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6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И.о.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526-76-52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3718"/>
        <w:gridCol w:w="7153"/>
      </w:tblGrid>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услуг в учетно-регистрационной сфере, предоставленных Росреестром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к общему количеству услуг, предоставленных в учетно-регистрационной сфере</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определяется по формуле:</w:t>
            </w:r>
          </w:p>
          <w:p w:rsidR="00C65754" w:rsidRDefault="00C65754">
            <w:pPr>
              <w:widowControl w:val="0"/>
              <w:autoSpaceDE w:val="0"/>
              <w:autoSpaceDN w:val="0"/>
              <w:adjustRightInd w:val="0"/>
              <w:spacing w:after="0" w:line="240" w:lineRule="auto"/>
              <w:rPr>
                <w:rFonts w:ascii="Calibri" w:hAnsi="Calibri" w:cs="Calibri"/>
              </w:rPr>
            </w:pP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80.25pt;height:18.75pt">
                  <v:imagedata r:id="rId338" o:title=""/>
                </v:shape>
              </w:pict>
            </w:r>
            <w:r>
              <w:rPr>
                <w:rFonts w:ascii="Calibri" w:hAnsi="Calibri" w:cs="Calibri"/>
              </w:rPr>
              <w:t>,</w:t>
            </w:r>
          </w:p>
          <w:p w:rsidR="00C65754" w:rsidRDefault="00C65754">
            <w:pPr>
              <w:widowControl w:val="0"/>
              <w:autoSpaceDE w:val="0"/>
              <w:autoSpaceDN w:val="0"/>
              <w:adjustRightInd w:val="0"/>
              <w:spacing w:after="0" w:line="240" w:lineRule="auto"/>
              <w:jc w:val="center"/>
              <w:rPr>
                <w:rFonts w:ascii="Calibri" w:hAnsi="Calibri" w:cs="Calibri"/>
              </w:rPr>
            </w:pP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pict>
                <v:shape id="_x0000_i1124" type="#_x0000_t75" style="width:25.5pt;height:18pt">
                  <v:imagedata r:id="rId339" o:title=""/>
                </v:shape>
              </w:pict>
            </w:r>
            <w:r>
              <w:rPr>
                <w:rFonts w:ascii="Calibri" w:hAnsi="Calibri" w:cs="Calibri"/>
              </w:rPr>
              <w:t xml:space="preserve"> - доля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25" type="#_x0000_t75" style="width:21.75pt;height:18pt">
                  <v:imagedata r:id="rId340" o:title=""/>
                </v:shape>
              </w:pict>
            </w:r>
            <w:r>
              <w:rPr>
                <w:rFonts w:ascii="Calibri" w:hAnsi="Calibri" w:cs="Calibri"/>
              </w:rPr>
              <w:t xml:space="preserve"> - количество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26" type="#_x0000_t75" style="width:17.25pt;height:18.75pt">
                  <v:imagedata r:id="rId341" o:title=""/>
                </v:shape>
              </w:pict>
            </w:r>
            <w:r>
              <w:rPr>
                <w:rFonts w:ascii="Calibri" w:hAnsi="Calibri" w:cs="Calibri"/>
              </w:rPr>
              <w:t xml:space="preserve"> - общее количество услуг, предоставляемых в учетно-регистрационной сфере</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Услуги Росреестра и подведомственных ему организаций, предоставляемые через многофункциональные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4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53"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3199"/>
        <w:gridCol w:w="1744"/>
        <w:gridCol w:w="2296"/>
        <w:gridCol w:w="1849"/>
        <w:gridCol w:w="2254"/>
        <w:gridCol w:w="1905"/>
      </w:tblGrid>
      <w:tr w:rsidR="00C65754">
        <w:tblPrEx>
          <w:tblCellMar>
            <w:top w:w="0" w:type="dxa"/>
            <w:bottom w:w="0" w:type="dxa"/>
          </w:tblCellMar>
        </w:tblPrEx>
        <w:trPr>
          <w:tblCellSpacing w:w="5" w:type="nil"/>
        </w:trPr>
        <w:tc>
          <w:tcPr>
            <w:tcW w:w="59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1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9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1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21.75pt;height:18pt">
                  <v:imagedata r:id="rId340" o:title=""/>
                </v:shape>
              </w:pic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9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9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услуг, предоставляемых в учетно-регистрационной сфере</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7.25pt;height:18.75pt">
                  <v:imagedata r:id="rId341" o:title=""/>
                </v:shape>
              </w:pic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0" w:name="Par13397"/>
      <w:bookmarkEnd w:id="410"/>
      <w:r>
        <w:rPr>
          <w:rFonts w:ascii="Calibri" w:hAnsi="Calibri" w:cs="Calibri"/>
        </w:rPr>
        <w:t>Подпрограмма 4</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8"/>
        <w:gridCol w:w="5682"/>
      </w:tblGrid>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4459"/>
        <w:gridCol w:w="6412"/>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удовлетворенности граждан Российской Федерации </w:t>
            </w:r>
            <w:r>
              <w:rPr>
                <w:rFonts w:ascii="Calibri" w:hAnsi="Calibri" w:cs="Calibri"/>
              </w:rPr>
              <w:lastRenderedPageBreak/>
              <w:t>качеством предоставления государственных и муниципальных услуг</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4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5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41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632"/>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63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3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граждане Российской Федерации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8"/>
        <w:gridCol w:w="5682"/>
      </w:tblGrid>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8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3"/>
        <w:gridCol w:w="3772"/>
        <w:gridCol w:w="7099"/>
      </w:tblGrid>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Минут</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 в I квартале 2013 г.</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6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9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135"/>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3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Доля граждан, имеющих </w:t>
            </w:r>
            <w:r>
              <w:rPr>
                <w:rFonts w:ascii="Calibri" w:hAnsi="Calibri" w:cs="Calibri"/>
              </w:rPr>
              <w:lastRenderedPageBreak/>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t</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w:t>
            </w:r>
            <w:r>
              <w:rPr>
                <w:rFonts w:ascii="Calibri" w:hAnsi="Calibri" w:cs="Calibri"/>
              </w:rPr>
              <w:lastRenderedPageBreak/>
              <w:t>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Граждане </w:t>
            </w:r>
            <w:r>
              <w:rPr>
                <w:rFonts w:ascii="Calibri" w:hAnsi="Calibri" w:cs="Calibri"/>
              </w:rPr>
              <w:lastRenderedPageBreak/>
              <w:t>Российской Федерации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8"/>
        <w:gridCol w:w="5682"/>
      </w:tblGrid>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718"/>
        <w:gridCol w:w="7153"/>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Наблюдаемые характеристики </w:t>
            </w:r>
            <w:r>
              <w:rPr>
                <w:rFonts w:ascii="Calibri" w:hAnsi="Calibri" w:cs="Calibri"/>
              </w:rPr>
              <w:lastRenderedPageBreak/>
              <w:t>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Среднее число обращений представителей бизнес-сообщества в орган </w:t>
            </w:r>
            <w:r>
              <w:rPr>
                <w:rFonts w:ascii="Calibri" w:hAnsi="Calibri" w:cs="Calibri"/>
              </w:rPr>
              <w:lastRenderedPageBreak/>
              <w:t>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 для наиболее востребованных государственных и муниципальных услуг</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 региональный уровень, местный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5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019"/>
        <w:gridCol w:w="1744"/>
        <w:gridCol w:w="2805"/>
        <w:gridCol w:w="2434"/>
        <w:gridCol w:w="214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43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1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1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43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Социологический опрос</w:t>
            </w:r>
          </w:p>
        </w:tc>
        <w:tc>
          <w:tcPr>
            <w:tcW w:w="21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Обращения представителей бизнес-сообщества</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8"/>
        <w:gridCol w:w="5682"/>
      </w:tblGrid>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5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6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Кирсанов М.В. - заместитель директора Департамента государственного регулирования в экономике,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690-11-77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941"/>
        <w:gridCol w:w="6930"/>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Минут</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Методика определения показателя будет утверждена на заседании Правительственной комиссии по проведению административной реформы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930"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9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 региональный уровень, местный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930"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0"/>
        <w:gridCol w:w="2410"/>
        <w:gridCol w:w="1744"/>
        <w:gridCol w:w="2805"/>
        <w:gridCol w:w="1849"/>
        <w:gridCol w:w="1699"/>
        <w:gridCol w:w="1905"/>
      </w:tblGrid>
      <w:tr w:rsidR="00C65754">
        <w:tblPrEx>
          <w:tblCellMar>
            <w:top w:w="0" w:type="dxa"/>
            <w:bottom w:w="0" w:type="dxa"/>
          </w:tblCellMar>
        </w:tblPrEx>
        <w:trPr>
          <w:tblCellSpacing w:w="5" w:type="nil"/>
        </w:trPr>
        <w:tc>
          <w:tcPr>
            <w:tcW w:w="370"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70"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1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время ожидания в очереди при обращении заявителя в орган государственной </w:t>
            </w:r>
            <w:r>
              <w:rPr>
                <w:rFonts w:ascii="Calibri" w:hAnsi="Calibri" w:cs="Calibri"/>
              </w:rPr>
              <w:lastRenderedPageBreak/>
              <w:t>власти Российской Федерации (орган местного самоуправления) для получения государственных (муниципальных) услуг</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Tv</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в очереди, мин.</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70"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w:t>
            </w:r>
          </w:p>
        </w:tc>
        <w:tc>
          <w:tcPr>
            <w:tcW w:w="2410"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1" w:name="Par13616"/>
      <w:bookmarkEnd w:id="411"/>
      <w:r>
        <w:rPr>
          <w:rFonts w:ascii="Calibri" w:hAnsi="Calibri" w:cs="Calibri"/>
        </w:rPr>
        <w:t>Подпрограмма 5</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инноваций" государственной программы</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"Экономическое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инновационная экономика"</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62"/>
        <w:gridCol w:w="5351"/>
      </w:tblGrid>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
        <w:gridCol w:w="4350"/>
        <w:gridCol w:w="6521"/>
      </w:tblGrid>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5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w:t>
            </w: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5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5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новых инновационных предприятий</w:t>
            </w: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521"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521"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5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52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1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5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52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2008"/>
        <w:gridCol w:w="1744"/>
        <w:gridCol w:w="2805"/>
        <w:gridCol w:w="1849"/>
        <w:gridCol w:w="1699"/>
        <w:gridCol w:w="1905"/>
      </w:tblGrid>
      <w:tr w:rsidR="00C65754">
        <w:tblPrEx>
          <w:tblCellMar>
            <w:top w:w="0" w:type="dxa"/>
            <w:bottom w:w="0" w:type="dxa"/>
          </w:tblCellMar>
        </w:tblPrEx>
        <w:trPr>
          <w:tblCellSpacing w:w="5" w:type="nil"/>
        </w:trPr>
        <w:tc>
          <w:tcPr>
            <w:tcW w:w="150"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008"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150"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08"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150"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08"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62"/>
        <w:gridCol w:w="5351"/>
      </w:tblGrid>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598"/>
        <w:gridCol w:w="7343"/>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субъектов Российской Федерации, получивших поддержку за счет средств федерального бюджета</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29" type="#_x0000_t75" style="width:195.75pt;height:18pt">
                  <v:imagedata r:id="rId342" o:title=""/>
                </v:shape>
              </w:pic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w:t>
            </w:r>
            <w:r>
              <w:rPr>
                <w:rFonts w:ascii="Calibri" w:hAnsi="Calibri" w:cs="Calibri"/>
              </w:rPr>
              <w:lastRenderedPageBreak/>
              <w:t>показателя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3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343"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получившие поддержку за счет средств федерального бюджета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Календарный год, за который субъекты Российской Федерации получили поддержку из федерального </w:t>
            </w:r>
            <w:r>
              <w:rPr>
                <w:rFonts w:ascii="Calibri" w:hAnsi="Calibri" w:cs="Calibri"/>
              </w:rPr>
              <w:lastRenderedPageBreak/>
              <w:t>бюджета, начиная с 2013 года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62"/>
        <w:gridCol w:w="5351"/>
      </w:tblGrid>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64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689"/>
        <w:gridCol w:w="7182"/>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получивших федеральную поддержку после 2012 года и сумевших удвоить высокотехнологичный экспорт с момента такой поддержки, накопительным итогом</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инновационных кластеров, получивших поддержку за счет средств федерального бюджета и удвоивших объем высокотехнологичного экспорта с момента поддержки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30" type="#_x0000_t75" style="width:195.75pt;height:18pt">
                  <v:imagedata r:id="rId342" o:title=""/>
                </v:shape>
              </w:pic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82"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052"/>
        <w:gridCol w:w="1744"/>
        <w:gridCol w:w="2805"/>
        <w:gridCol w:w="1849"/>
        <w:gridCol w:w="1721"/>
        <w:gridCol w:w="1909"/>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305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721"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9"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5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кластеров, получившие поддержку за счет средств федерального бюджета и удвоившие высокотехнологичный экспорт</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21"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5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Календарный год, за который инновационные кластеры получили поддержку из федерального бюджета, начиная с 2013</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21"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35"/>
        <w:gridCol w:w="5351"/>
      </w:tblGrid>
      <w:tr w:rsidR="00C65754">
        <w:tblPrEx>
          <w:tblCellMar>
            <w:top w:w="0" w:type="dxa"/>
            <w:bottom w:w="0" w:type="dxa"/>
          </w:tblCellMar>
        </w:tblPrEx>
        <w:trPr>
          <w:tblCellSpacing w:w="5" w:type="nil"/>
        </w:trPr>
        <w:tc>
          <w:tcPr>
            <w:tcW w:w="70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703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Шадрин А.Е. - директор Департамента инновационного развития,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650-84-22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
        <w:gridCol w:w="3716"/>
        <w:gridCol w:w="7155"/>
      </w:tblGrid>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Валовая добавленная стоимость инновационного сектора в валовом внутреннем продукте</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валовой добавленной стоимости инновационного сектора в валовом внутреннем продукте</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w:t>
            </w:r>
            <w:r>
              <w:rPr>
                <w:rFonts w:ascii="Calibri" w:hAnsi="Calibri" w:cs="Calibri"/>
              </w:rPr>
              <w:lastRenderedPageBreak/>
              <w:t>и методологические пояснения к показателю</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D = V / ВВП; V = производство машин и оборудования (подраздел DK) + </w:t>
            </w:r>
            <w:r>
              <w:rPr>
                <w:rFonts w:ascii="Calibri" w:hAnsi="Calibri" w:cs="Calibri"/>
              </w:rPr>
              <w:lastRenderedPageBreak/>
              <w:t>производство электрооборудования, электронного и оптического оборудования (подраздел DL) + производство транспортных средств и оборудования (подраздел DM) + связь (класс 64) + научные исследования и разработки (класс 73) + образование (раздел М) + здравоохранение и предоставление социальных услуг (раздел N) (в соответствии с кодами ОКВЭД)</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валовой добавленной стоимости инновационного сектора в валовом внутреннем продукте</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5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55"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805"/>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валовой добавленной стоимости</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валовой добавленной стоимости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6"/>
        <w:gridCol w:w="5351"/>
      </w:tblGrid>
      <w:tr w:rsidR="00C65754">
        <w:tblPrEx>
          <w:tblCellMar>
            <w:top w:w="0" w:type="dxa"/>
            <w:bottom w:w="0" w:type="dxa"/>
          </w:tblCellMar>
        </w:tblPrEx>
        <w:trPr>
          <w:tblCellSpacing w:w="5" w:type="nil"/>
        </w:trPr>
        <w:tc>
          <w:tcPr>
            <w:tcW w:w="61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интеллектуальной собственности (Роспатент)</w:t>
            </w:r>
          </w:p>
        </w:tc>
      </w:tr>
      <w:tr w:rsidR="00C65754">
        <w:tblPrEx>
          <w:tblCellMar>
            <w:top w:w="0" w:type="dxa"/>
            <w:bottom w:w="0" w:type="dxa"/>
          </w:tblCellMar>
        </w:tblPrEx>
        <w:trPr>
          <w:tblCellSpacing w:w="5" w:type="nil"/>
        </w:trPr>
        <w:tc>
          <w:tcPr>
            <w:tcW w:w="61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Кирий Л.Л. - заместитель руководителя Роспатента, тел. (495) 531-63-87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0"/>
        <w:gridCol w:w="3797"/>
        <w:gridCol w:w="7074"/>
      </w:tblGrid>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экспертиз заявок на государственную регистрацию интеллектуальной собственности и принятых решений по их результатам</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проведенных экспертиз заявок на государственную регистрацию интеллектуальной собственности, включая объекты патентного права (изобретение, полезная модель, промышленный образец), средства индивидуализации (товарный знак, наименование места происхождения товаров), а также рассмотренных заявок на государственную регистрацию программы для электронных вычислительных машин, базы данных и топологии интегральных микросхем</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31" type="#_x0000_t75" style="width:57.75pt;height:19.5pt">
                  <v:imagedata r:id="rId343" o:title=""/>
                </v:shape>
              </w:pict>
            </w:r>
            <w:r>
              <w:rPr>
                <w:rFonts w:ascii="Calibri" w:hAnsi="Calibri" w:cs="Calibri"/>
              </w:rPr>
              <w:t xml:space="preserve">, </w:t>
            </w:r>
            <w:r>
              <w:rPr>
                <w:rFonts w:ascii="Calibri" w:hAnsi="Calibri" w:cs="Calibri"/>
                <w:position w:val="-14"/>
              </w:rPr>
              <w:pict>
                <v:shape id="_x0000_i1132" type="#_x0000_t75" style="width:23.25pt;height:19.5pt">
                  <v:imagedata r:id="rId344" o:title=""/>
                </v:shape>
              </w:pict>
            </w:r>
            <w:r>
              <w:rPr>
                <w:rFonts w:ascii="Calibri" w:hAnsi="Calibri" w:cs="Calibri"/>
              </w:rPr>
              <w:t xml:space="preserve"> от 1 до n где n - количество заявок на государственную регистрацию интеллектуальной собственности, по которым проведены экспертиза или рассмотрение и приняты решения по их результатам</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на государственную регистрацию интеллектуальной собственности и принятых решений по их результатам</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1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74"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90"/>
        <w:gridCol w:w="1744"/>
        <w:gridCol w:w="2254"/>
        <w:gridCol w:w="1849"/>
        <w:gridCol w:w="2272"/>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9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7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90"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Заявка на государственную регистрацию интеллектуальной собственности, по которой проведена экспертиза или рассмотрение и приняты решения по их результатам</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Эзгрис</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7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институт промышленной собственности"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6"/>
        <w:gridCol w:w="5351"/>
      </w:tblGrid>
      <w:tr w:rsidR="00C65754">
        <w:tblPrEx>
          <w:tblCellMar>
            <w:top w:w="0" w:type="dxa"/>
            <w:bottom w:w="0" w:type="dxa"/>
          </w:tblCellMar>
        </w:tblPrEx>
        <w:trPr>
          <w:tblCellSpacing w:w="5" w:type="nil"/>
        </w:trPr>
        <w:tc>
          <w:tcPr>
            <w:tcW w:w="61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интеллектуальной собственности (Роспатент)</w:t>
            </w:r>
          </w:p>
        </w:tc>
      </w:tr>
      <w:tr w:rsidR="00C65754">
        <w:tblPrEx>
          <w:tblCellMar>
            <w:top w:w="0" w:type="dxa"/>
            <w:bottom w:w="0" w:type="dxa"/>
          </w:tblCellMar>
        </w:tblPrEx>
        <w:trPr>
          <w:tblCellSpacing w:w="5" w:type="nil"/>
        </w:trPr>
        <w:tc>
          <w:tcPr>
            <w:tcW w:w="61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Кирий Л.Л. - заместитель руководителя Роспатента, тел. (495) 531-63-87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3"/>
        <w:gridCol w:w="3698"/>
        <w:gridCol w:w="7173"/>
      </w:tblGrid>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заявок на государственную регистрацию интеллектуальной собственности, поданных в электронном виде</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количества заявок на государственную регистрацию интеллектуальной собственности, поступивших в электронном виде с использованием информационно-коммуникационных сетей общего доступа в процентах от общего количества заявок, поступивших на государственную регистрацию интеллектуальной собственности</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w:t>
            </w:r>
            <w:r>
              <w:rPr>
                <w:rFonts w:ascii="Calibri" w:hAnsi="Calibri" w:cs="Calibri"/>
              </w:rPr>
              <w:lastRenderedPageBreak/>
              <w:t>показателю &lt;2&gt;</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pict>
                <v:shape id="_x0000_i1133" type="#_x0000_t75" style="width:165pt;height:19.5pt">
                  <v:imagedata r:id="rId345" o:title=""/>
                </v:shape>
              </w:pic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134" type="#_x0000_t75" style="width:50.25pt;height:18pt">
                  <v:imagedata r:id="rId346" o:title=""/>
                </v:shape>
              </w:pict>
            </w:r>
            <w:r>
              <w:rPr>
                <w:rFonts w:ascii="Calibri" w:hAnsi="Calibri" w:cs="Calibri"/>
              </w:rPr>
              <w:t xml:space="preserve"> - Общее количество поступивших заявок на регистрацию интеллектуальной собственности в электронной форме.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ЗГРИС - Общее количество поступивших заявок на регистрацию интеллектуальной собственности</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Использование электронных услуг при подаче заявок на государственную регистрацию интеллектуальной собственности</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7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37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73"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90"/>
        <w:gridCol w:w="1744"/>
        <w:gridCol w:w="2254"/>
        <w:gridCol w:w="1849"/>
        <w:gridCol w:w="2272"/>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9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7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поступивших заявок на государственную регистрацию интеллектуальной собственности в электронной форме</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50.25pt;height:18pt">
                  <v:imagedata r:id="rId346" o:title=""/>
                </v:shape>
              </w:pic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7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институт промышленной собственности"</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поступивших заявок на </w:t>
            </w:r>
            <w:r>
              <w:rPr>
                <w:rFonts w:ascii="Calibri" w:hAnsi="Calibri" w:cs="Calibri"/>
              </w:rPr>
              <w:lastRenderedPageBreak/>
              <w:t>государственную регистрацию интеллектуальной собственности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ЗГРИС</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7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w:t>
            </w:r>
            <w:r>
              <w:rPr>
                <w:rFonts w:ascii="Calibri" w:hAnsi="Calibri" w:cs="Calibri"/>
              </w:rPr>
              <w:lastRenderedPageBreak/>
              <w:t>бюджетное учреждение "Федеральный институт промышленной собственности"</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2" w:name="Par13972"/>
      <w:bookmarkEnd w:id="412"/>
      <w:r>
        <w:rPr>
          <w:rFonts w:ascii="Calibri" w:hAnsi="Calibri" w:cs="Calibri"/>
        </w:rPr>
        <w:t>Подпрограмма 6</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функционирования естественных</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монополий и иных регулируемых организаций и развитие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стимулирующего регулирования"</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44"/>
        <w:gridCol w:w="5476"/>
      </w:tblGrid>
      <w:tr w:rsidR="00C65754">
        <w:tblPrEx>
          <w:tblCellMar>
            <w:top w:w="0" w:type="dxa"/>
            <w:bottom w:w="0" w:type="dxa"/>
          </w:tblCellMar>
        </w:tblPrEx>
        <w:trPr>
          <w:tblCellSpacing w:w="5" w:type="nil"/>
        </w:trPr>
        <w:tc>
          <w:tcPr>
            <w:tcW w:w="57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4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57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54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Егоров М.Б. - начальник Управления регулирования электроэнергетической отрасли, тел. (495) 620-50-21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4903"/>
        <w:gridCol w:w="5968"/>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тарифно-балансовых решений ФСТ России, отмененных вступившими в законную силу решениями суда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тарифно-балансовых решений ФСТ России, отмененных вступившими в законную силу решениями суда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Дтбр = Ко / Ок x 100%</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Тарифно-балансовые решения ФСТ России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596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90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5968"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1849"/>
        <w:gridCol w:w="1713"/>
        <w:gridCol w:w="1900"/>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713"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0"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тарифно-балансовых решений ФСТ России, отмененных вступившими в законную силу решениями суда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3"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0"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тарифно-балансовых решений ФСТ России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3"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0"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84"/>
        <w:gridCol w:w="6036"/>
      </w:tblGrid>
      <w:tr w:rsidR="00C65754">
        <w:tblPrEx>
          <w:tblCellMar>
            <w:top w:w="0" w:type="dxa"/>
            <w:bottom w:w="0" w:type="dxa"/>
          </w:tblCellMar>
        </w:tblPrEx>
        <w:trPr>
          <w:tblCellSpacing w:w="5" w:type="nil"/>
        </w:trPr>
        <w:tc>
          <w:tcPr>
            <w:tcW w:w="51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0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51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ф.и.о., должность, телефон, адрес электронной почты)</w:t>
            </w:r>
          </w:p>
        </w:tc>
        <w:tc>
          <w:tcPr>
            <w:tcW w:w="60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Бржезянский С.Э. - начальник Управления по работе с региональными органами регулирования и рассмотрению </w:t>
            </w:r>
            <w:r>
              <w:rPr>
                <w:rFonts w:ascii="Calibri" w:hAnsi="Calibri" w:cs="Calibri"/>
              </w:rPr>
              <w:lastRenderedPageBreak/>
              <w:t>разногласий,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620-50-46</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4330"/>
        <w:gridCol w:w="6541"/>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по итогам рассмотрения разногласий и досудебного рассмотрения споров, отмененных вступившими в законную силу решениями суда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Дрд = Кос / Крд x 100%</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по итогам рассмотрения разногласий и досудебного рассмотрения споров</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5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54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решений ФСТ России по итогам рассмотрения разногласий и досудебного рассмотрения споров, отмененных вступившими в </w:t>
            </w:r>
            <w:r>
              <w:rPr>
                <w:rFonts w:ascii="Calibri" w:hAnsi="Calibri" w:cs="Calibri"/>
              </w:rPr>
              <w:lastRenderedPageBreak/>
              <w:t>законную силу решениями суда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Кос</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решений ФСТ России по итогам рассмотрения разногласий и досудебного рассмотрения споров</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Крд</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7"/>
        <w:gridCol w:w="5351"/>
      </w:tblGrid>
      <w:tr w:rsidR="00C65754">
        <w:tblPrEx>
          <w:tblCellMar>
            <w:top w:w="0" w:type="dxa"/>
            <w:bottom w:w="0" w:type="dxa"/>
          </w:tblCellMar>
        </w:tblPrEx>
        <w:trPr>
          <w:tblCellSpacing w:w="5" w:type="nil"/>
        </w:trPr>
        <w:tc>
          <w:tcPr>
            <w:tcW w:w="60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60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4015"/>
        <w:gridCol w:w="6856"/>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Дгр = Крс / Кгр x 100%</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по введению, прекращению, изменению государственного регулирования</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8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1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856"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16"/>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1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решений ФСТ России по введению, прекращению, изменению государственного регулирования, отмененных вступившими в законную силу решениями суда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Крс</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1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решений ФСТ России по введению, прекращению, изменению государственного регулирования</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Кгр</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7"/>
        <w:gridCol w:w="5351"/>
      </w:tblGrid>
      <w:tr w:rsidR="00C65754">
        <w:tblPrEx>
          <w:tblCellMar>
            <w:top w:w="0" w:type="dxa"/>
            <w:bottom w:w="0" w:type="dxa"/>
          </w:tblCellMar>
        </w:tblPrEx>
        <w:trPr>
          <w:tblCellSpacing w:w="5" w:type="nil"/>
        </w:trPr>
        <w:tc>
          <w:tcPr>
            <w:tcW w:w="60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60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4032"/>
        <w:gridCol w:w="6839"/>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выполнения плана проверок ФСТ России в отношении соблюдения законодательства Российской Федерации о ценообразовании (включая участие в проверках иных контрольно-надзорных органов)</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выполнения плана проверок ФСТ России в отношении соблюдения законодательства Российской Федерации о ценообразовании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Дпро = Кпро / Нпро x 100%</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проверок ФСТ России в отношении соблюдения законодательства Российской Федерации о ценообразовании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8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3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839"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проверенных </w:t>
            </w:r>
            <w:r>
              <w:rPr>
                <w:rFonts w:ascii="Calibri" w:hAnsi="Calibri" w:cs="Calibri"/>
              </w:rPr>
              <w:lastRenderedPageBreak/>
              <w:t>регулируемых организаций в соответствии с планом проверок</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Кпро</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регулируемых организаций, которых необходимо проверить в соответствии с планом проверок</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Нпро</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1"/>
        <w:gridCol w:w="5351"/>
      </w:tblGrid>
      <w:tr w:rsidR="00C65754">
        <w:tblPrEx>
          <w:tblCellMar>
            <w:top w:w="0" w:type="dxa"/>
            <w:bottom w:w="0" w:type="dxa"/>
          </w:tblCellMar>
        </w:tblPrEx>
        <w:trPr>
          <w:tblCellSpacing w:w="5" w:type="nil"/>
        </w:trPr>
        <w:tc>
          <w:tcPr>
            <w:tcW w:w="67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67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Малоземов А.В. - начальник Контрольно-ревизионного управления, (495) 620-50-59</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2"/>
        <w:gridCol w:w="4374"/>
        <w:gridCol w:w="6497"/>
      </w:tblGrid>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решений ФСТ России в рамках административно-надзорного производства, отмененных вступившими в законную силу решениями суда</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решений ФСТ России в рамках административно-надзорного производства, отмененных вступившими в законную силу решениями суда</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Данп = Котм / Канп x 100%</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Решения ФСТ России в рамках административно-надзорного производства</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4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7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497"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509"/>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50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решений ФСТ России в рамках административно-надзорного производства, отмененных вступившими в законную силу решениями суда</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Котм</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50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решений ФСТ России в рамках административно-надзорного производства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Канп</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91"/>
        <w:gridCol w:w="5351"/>
      </w:tblGrid>
      <w:tr w:rsidR="00C65754">
        <w:tblPrEx>
          <w:tblCellMar>
            <w:top w:w="0" w:type="dxa"/>
            <w:bottom w:w="0" w:type="dxa"/>
          </w:tblCellMar>
        </w:tblPrEx>
        <w:trPr>
          <w:tblCellSpacing w:w="5" w:type="nil"/>
        </w:trPr>
        <w:tc>
          <w:tcPr>
            <w:tcW w:w="62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629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Изотова А.В. - начальник Юридического Управления, тел. (495) 620-50-33</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745"/>
        <w:gridCol w:w="7126"/>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 проектов федеральных законов, указов Президента Российской Федерации нормативного характера и актов Правительства Российской Федерации, имеющих нормативный характер (проектов постановлений Правительства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положительных заключений Минюста России по результатам проведения правовой экспертизы и антикоррупционной экспертизы проектов федеральных законов, указов Президента Российской Федерации нормативного характера и актов Правительства Российской Федерации, имеющих нормативный характер (проектов постановлений Правительства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Дпз = Кпз / Кпэ x 100%</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Положительные заключения Минюста России по результатам проведения правовой экспертизы и антикоррупционной экспертизы проектов федеральных законов, указов Президента Российской Федерации нормативного характера и актов Правительства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6"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790"/>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79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9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положительных заключений Минюста России по результатам проведения правовой экспертизы и антикоррупционной экспертизы проектов</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Кпз</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9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правовых экспертиз и антикоррупционных экспертиз проектов</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Кпэ</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796"/>
        <w:gridCol w:w="7075"/>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 от общего количества отправленных на регистрацию</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Дпзп = Кпзп / Кор x 100%</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Положительные заключения Минюста России по результатам проведения правовой экспертизы и антикоррупционной экспертизы ведомственных правовых актов ФСТ России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75"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760"/>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6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положительных заключений Минюста России по результатам проведения правовой экспертизы и антикоррупционной экспертизы ведомственных правовых актов ФСТ России</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Кпзп</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76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ведомственных правовых актов ФСТ России, отправленных на регистрацию в Минюст России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Кор</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моногоалическое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45"/>
        <w:gridCol w:w="5375"/>
      </w:tblGrid>
      <w:tr w:rsidR="00C65754">
        <w:tblPrEx>
          <w:tblCellMar>
            <w:top w:w="0" w:type="dxa"/>
            <w:bottom w:w="0" w:type="dxa"/>
          </w:tblCellMar>
        </w:tblPrEx>
        <w:trPr>
          <w:tblCellSpacing w:w="5" w:type="nil"/>
        </w:trPr>
        <w:tc>
          <w:tcPr>
            <w:tcW w:w="5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7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r>
      <w:tr w:rsidR="00C65754">
        <w:tblPrEx>
          <w:tblCellMar>
            <w:top w:w="0" w:type="dxa"/>
            <w:bottom w:w="0" w:type="dxa"/>
          </w:tblCellMar>
        </w:tblPrEx>
        <w:trPr>
          <w:tblCellSpacing w:w="5" w:type="nil"/>
        </w:trPr>
        <w:tc>
          <w:tcPr>
            <w:tcW w:w="58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53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Бржезянский С.Э. - начальник Управления по работе с региональными органами регулирования и рассмотрению разногласий,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620-50-46</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3598"/>
        <w:gridCol w:w="7294"/>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уровень снижения предельной стоимости подключения потребителей (до 150 кВт) по договорам технологического присоединения, в процентах от ВНД на душу населения</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36" type="#_x0000_t75" style="width:176.25pt;height:21.75pt">
                  <v:imagedata r:id="rId347" o:title=""/>
                </v:shape>
              </w:pic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Стоимость подключения потребителей (до 150 кВт) по договорам технологического присоединения</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уровни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2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37" type="#_x0000_t75" style="width:147pt;height:37.5pt">
                  <v:imagedata r:id="rId348"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38" type="#_x0000_t75" style="width:14.25pt;height:18.75pt">
                  <v:imagedata r:id="rId349" o:title=""/>
                </v:shape>
              </w:pict>
            </w:r>
            <w:r>
              <w:rPr>
                <w:rFonts w:ascii="Calibri" w:hAnsi="Calibri" w:cs="Calibri"/>
              </w:rPr>
              <w:t xml:space="preserve"> - расходы на осуществление i-ой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139" type="#_x0000_t75" style="width:21.75pt;height:18.75pt">
                  <v:imagedata r:id="rId350" o:title=""/>
                </v:shape>
              </w:pict>
            </w:r>
            <w:r>
              <w:rPr>
                <w:rFonts w:ascii="Calibri" w:hAnsi="Calibri" w:cs="Calibri"/>
              </w:rPr>
              <w:t xml:space="preserve"> - расходы на строительство объектов i-ого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 без учета налога на добавленную стоимость;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n - количество фактически поданных заявок потребителей, по которым заключены договоры на технологическое присоединение в отчетном периоде i-ой сетевой организацией, штук;</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880"/>
        <w:gridCol w:w="1744"/>
        <w:gridCol w:w="2254"/>
        <w:gridCol w:w="1849"/>
        <w:gridCol w:w="2212"/>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1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80"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0" type="#_x0000_t75" style="width:14.25pt;height:18pt">
                  <v:imagedata r:id="rId351" o:title=""/>
                </v:shape>
              </w:pic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ФСТ России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Электросетевые организации</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3" w:name="Par14431"/>
      <w:bookmarkEnd w:id="413"/>
      <w:r>
        <w:rPr>
          <w:rFonts w:ascii="Calibri" w:hAnsi="Calibri" w:cs="Calibri"/>
        </w:rPr>
        <w:t>Подпрограмма 7</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"Кадры для инновационной экономики"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775"/>
        <w:gridCol w:w="7096"/>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подготовленных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прошедших обучение в рамках Государственного плана подготовки управленческих кадров для организации народного хозяйства Российской Федерации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Прямым счетом на основе заключенных соглашений между Минэкономразвития России и органами исполнительной власти субъектов Российской Федерации о предоставлении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9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9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
        <w:gridCol w:w="3745"/>
        <w:gridCol w:w="7126"/>
      </w:tblGrid>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управленцев, подготовленных для сферы здравоохранения и образования</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подготовленных для сферы здравоохранения и образования</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 основании отчетных данных, предоставляемых Российской академией 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2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3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749"/>
        <w:gridCol w:w="7122"/>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управленцев, прошедших зарубежные стажировки, как в рамках взаимных обменов, так и целевых проектных стажировок</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прошедших зарубежные стажировки, как в рамках взаимных обменов, так и целевых проектных стажировок</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w:t>
            </w:r>
            <w:r>
              <w:rPr>
                <w:rFonts w:ascii="Calibri" w:hAnsi="Calibri" w:cs="Calibri"/>
              </w:rPr>
              <w:lastRenderedPageBreak/>
              <w:t>и методологические пояснения к показателю</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 основании отчетных данных, предоставляемых исполнителями </w:t>
            </w:r>
            <w:r>
              <w:rPr>
                <w:rFonts w:ascii="Calibri" w:hAnsi="Calibri" w:cs="Calibri"/>
              </w:rPr>
              <w:lastRenderedPageBreak/>
              <w:t>государственных контрактов, заключенных с ФГУ "ФРЦ" об оказании услуг по организации зарубежных стажировок.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Заключение государственных контрактов ФГУ "ФРЦ" осуществляется на основании Соглашения, заключенного с Минэкономразвития России о передаче ФГУ "ФРЦ" функций государственного заказчика, связанных с реализацией отдельных мероприятий Государственного плана подготовки управленческих кадров для организаций народного хозяйства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745"/>
        <w:gridCol w:w="7126"/>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управленцев в сфере здравоохранения и образования, прошедших зарубежные стажировки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Чел.</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специалистов, подготовленных для сферы здравоохранения и образования</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 основании отчетных данных, предоставляемых Российской академией 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Наблюдаемые характеристики </w:t>
            </w:r>
            <w:r>
              <w:rPr>
                <w:rFonts w:ascii="Calibri" w:hAnsi="Calibri" w:cs="Calibri"/>
              </w:rPr>
              <w:lastRenderedPageBreak/>
              <w:t>показателя</w:t>
            </w:r>
          </w:p>
        </w:tc>
        <w:tc>
          <w:tcPr>
            <w:tcW w:w="712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4149"/>
        <w:gridCol w:w="6722"/>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7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управленцев, завершивших обучение и включенных по окончании обучения в кадровые резервы всех уровней власти, в общем количестве управленцев, завершивших обучение, в очередном году</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7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7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специалистов, завершивших обучение и включенных в кадровый резерв всех уровней власти по окончании обучения, в общей доле специалистов прошедших обучение</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722"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7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7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72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4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7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3746"/>
        <w:gridCol w:w="7125"/>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учреждений, участвующих в реализации Государственного плана подготовки управленческих кадров для организаций народного хозяйства Российской Федерации и внедривших в образовательный процесс современные образовательные технологии, основанные на методах активного обучения</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образовательных учреждений внедривших в образовательный процесс современные образовательные технологии, основанные на методах активного обучения, от общего количества учреждений, участвующих в реализации государственного плана подготовки управленческих кадров для организации народного хозяйства Российской Федерации</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Прямым счетом на основе заключенных соглашений между Минэкономразвития России и органами исполнительной власти субъектов Российской Федерации о предоставлении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2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4420"/>
        <w:gridCol w:w="6451"/>
      </w:tblGrid>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4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заключенных специалистами, прошедшими зарубежные стажировки, договоров и контрактов в течение 3 лет после окончания зарубежных стажировок</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4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4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договоров и контрактов, заключенных специалистами, прошедших зарубежные стажировки</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451"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4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4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4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4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44"/>
        <w:gridCol w:w="5876"/>
      </w:tblGrid>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8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34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Михеева Ю.Е. - заместитель директора департамента экономики социального развития и приоритетных программ,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650-88-77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2"/>
        <w:gridCol w:w="3747"/>
        <w:gridCol w:w="7124"/>
      </w:tblGrid>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информационных баз лучших инновационных проектов по реализации модернизационных процессов в сфере здравоохранения и образования ("банк проектов") для их последующего тиражирования</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Шт.</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количество информационных баз лучших проектов по реализации модернизации процессов в сфере здравоохранения и образования для их последующего тиражирования</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w:t>
            </w:r>
            <w:r>
              <w:rPr>
                <w:rFonts w:ascii="Calibri" w:hAnsi="Calibri" w:cs="Calibri"/>
              </w:rPr>
              <w:lastRenderedPageBreak/>
              <w:t>и методологические пояснения к показателю</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 основании отчетных данных предоставляемых Российской академией </w:t>
            </w:r>
            <w:r>
              <w:rPr>
                <w:rFonts w:ascii="Calibri" w:hAnsi="Calibri" w:cs="Calibri"/>
              </w:rPr>
              <w:lastRenderedPageBreak/>
              <w:t>народного хозяйства и государственной службы при Президенте Российской Федерации в соответствии с заключенным с Минэкономразвития России государственным контрактом</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2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2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и региональный уровень</w:t>
            </w:r>
          </w:p>
        </w:tc>
      </w:tr>
      <w:tr w:rsidR="00C65754">
        <w:tblPrEx>
          <w:tblCellMar>
            <w:top w:w="0" w:type="dxa"/>
            <w:bottom w:w="0" w:type="dxa"/>
          </w:tblCellMar>
        </w:tblPrEx>
        <w:trPr>
          <w:tblCellSpacing w:w="5" w:type="nil"/>
        </w:trPr>
        <w:tc>
          <w:tcPr>
            <w:tcW w:w="52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2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4" w:name="Par14691"/>
      <w:bookmarkEnd w:id="414"/>
      <w:r>
        <w:rPr>
          <w:rFonts w:ascii="Calibri" w:hAnsi="Calibri" w:cs="Calibri"/>
        </w:rPr>
        <w:t>Подпрограмма 8</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системы государственного</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стратегического управления"</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81"/>
        <w:gridCol w:w="5439"/>
      </w:tblGrid>
      <w:tr w:rsidR="00C65754">
        <w:tblPrEx>
          <w:tblCellMar>
            <w:top w:w="0" w:type="dxa"/>
            <w:bottom w:w="0" w:type="dxa"/>
          </w:tblCellMar>
        </w:tblPrEx>
        <w:trPr>
          <w:tblCellSpacing w:w="5" w:type="nil"/>
        </w:trPr>
        <w:tc>
          <w:tcPr>
            <w:tcW w:w="578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43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78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 адрес электронной почты)</w:t>
            </w:r>
          </w:p>
        </w:tc>
        <w:tc>
          <w:tcPr>
            <w:tcW w:w="54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Засов О.А. - директор Сводного департамента макроэкономического прогнозирования, тел. (495) 650-83-07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817"/>
        <w:gridCol w:w="7054"/>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отраслей и секторов экономики в ВВП, развивающихся с использованием инструментов стратегического планирования</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сумма долей ВВП, обеспечиваемый предприятиями отраслей экономики, по которым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секторов экономики, федеральные целевые программы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Xi - объем произведенной добавленной стоимости i-ой отрасли экономики по которой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w:t>
            </w:r>
            <w:r>
              <w:rPr>
                <w:rFonts w:ascii="Calibri" w:hAnsi="Calibri" w:cs="Calibri"/>
              </w:rPr>
              <w:lastRenderedPageBreak/>
              <w:t>секторов экономики, федеральные целевые программы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41" type="#_x0000_t75" style="width:87.75pt;height:19.5pt">
                  <v:imagedata r:id="rId352" o:title=""/>
                </v:shape>
              </w:pic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54"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1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54"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370"/>
        <w:gridCol w:w="1744"/>
        <w:gridCol w:w="2805"/>
        <w:gridCol w:w="2092"/>
        <w:gridCol w:w="1894"/>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80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89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7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Отрасли экономики по которым утверждены, действующие документы стратегического планирования федерального уровня - Государственные программы Российской Федерации, стратегии развития отраслей и секторов экономики, федеральные целевые программы</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28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Реестр</w:t>
            </w:r>
          </w:p>
        </w:tc>
        <w:tc>
          <w:tcPr>
            <w:tcW w:w="1894"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Произведенная добавленная стоимость отраслями экономики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 оценки Минэкономразвития России</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89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Организации, домашние хозяйства и другие</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Выборочное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6"/>
        <w:gridCol w:w="6014"/>
      </w:tblGrid>
      <w:tr w:rsidR="00C65754">
        <w:tblPrEx>
          <w:tblCellMar>
            <w:top w:w="0" w:type="dxa"/>
            <w:bottom w:w="0" w:type="dxa"/>
          </w:tblCellMar>
        </w:tblPrEx>
        <w:trPr>
          <w:tblCellSpacing w:w="5" w:type="nil"/>
        </w:trPr>
        <w:tc>
          <w:tcPr>
            <w:tcW w:w="520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01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Российской Федерации</w:t>
            </w:r>
          </w:p>
        </w:tc>
      </w:tr>
      <w:tr w:rsidR="00C65754">
        <w:tblPrEx>
          <w:tblCellMar>
            <w:top w:w="0" w:type="dxa"/>
            <w:bottom w:w="0" w:type="dxa"/>
          </w:tblCellMar>
        </w:tblPrEx>
        <w:trPr>
          <w:tblCellSpacing w:w="5" w:type="nil"/>
        </w:trPr>
        <w:tc>
          <w:tcPr>
            <w:tcW w:w="520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60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Засов О.А. - директор Сводного департамента макроэкономического прогнозирования, тел. (495) 650-83-07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675"/>
        <w:gridCol w:w="7196"/>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прогнозируемых в предыдущем году</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Процентные пункты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на основании набора ключевых показателей: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темп роста валового внутреннего продукта,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инфляция (индекс потребительских цен),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темп роста реальной заработной платы в экономике,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темп роста инвестиций в основной капитал,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индекс промышленного производства, %</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розничной торговли, %</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 каждому показателю i из набора ключевых показателей прогнозное значение показателя Xi tП года t принимается из таблиц макроэкономических показателей прогноза социально-экономического развития Российской Федерации, внесенного в Государственную Думу в сентябре года, предшествующего прогнозному, т.е. прогноза, положенного в основу проекта федерального бюджета на год 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Фактическое значение показателя Xi tф года t определяется в соответствии с докладом Росстата об итогах социально-экономического развития Российской Федерации года t, публикуемого в году, следующем за прогнозным. В случае уточнения Росстатом оценки показателя, в </w:t>
            </w:r>
            <w:r>
              <w:rPr>
                <w:rFonts w:ascii="Calibri" w:hAnsi="Calibri" w:cs="Calibri"/>
              </w:rPr>
              <w:lastRenderedPageBreak/>
              <w:t>качестве отчетной принимается последняя оценка.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Отклонение фактического значения показателя Xi t от прогнозного значения показателя вычисляется по формуле: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6"/>
              </w:rPr>
              <w:pict>
                <v:shape id="_x0000_i1142" type="#_x0000_t75" style="width:79.5pt;height:21.75pt">
                  <v:imagedata r:id="rId353" o:title=""/>
                </v:shape>
              </w:pict>
            </w:r>
            <w:r>
              <w:rPr>
                <w:rFonts w:ascii="Calibri" w:hAnsi="Calibri" w:cs="Calibri"/>
              </w:rPr>
              <w:t xml:space="preserve"> , в процентных пунктах Среднее отклонение по набору ключевых показателей фактических значений от прогнозных значений определяется как среднеарифметическое значение отклонений: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6"/>
              </w:rPr>
              <w:pict>
                <v:shape id="_x0000_i1143" type="#_x0000_t75" style="width:69.75pt;height:23.25pt">
                  <v:imagedata r:id="rId354"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n - число показателей в наборе ключевых показателей, т.е. n = 6</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96" w:type="dxa"/>
          </w:tcPr>
          <w:p w:rsidR="00C65754" w:rsidRDefault="00C65754">
            <w:pPr>
              <w:widowControl w:val="0"/>
              <w:autoSpaceDE w:val="0"/>
              <w:autoSpaceDN w:val="0"/>
              <w:adjustRightInd w:val="0"/>
              <w:spacing w:after="0" w:line="240" w:lineRule="auto"/>
              <w:jc w:val="both"/>
              <w:rPr>
                <w:rFonts w:ascii="Calibri" w:hAnsi="Calibri" w:cs="Calibri"/>
              </w:rPr>
            </w:pP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9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разрезе РФ</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7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96"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5" w:name="Par14795"/>
      <w:bookmarkEnd w:id="415"/>
      <w:r>
        <w:rPr>
          <w:rFonts w:ascii="Calibri" w:hAnsi="Calibri" w:cs="Calibri"/>
        </w:rPr>
        <w:t>Подпрограмма 9</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официальной статистической информации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07"/>
        <w:gridCol w:w="5713"/>
      </w:tblGrid>
      <w:tr w:rsidR="00C65754">
        <w:tblPrEx>
          <w:tblCellMar>
            <w:top w:w="0" w:type="dxa"/>
            <w:bottom w:w="0" w:type="dxa"/>
          </w:tblCellMar>
        </w:tblPrEx>
        <w:trPr>
          <w:tblCellSpacing w:w="5" w:type="nil"/>
        </w:trPr>
        <w:tc>
          <w:tcPr>
            <w:tcW w:w="550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71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статистики</w:t>
            </w:r>
          </w:p>
        </w:tc>
      </w:tr>
      <w:tr w:rsidR="00C65754">
        <w:tblPrEx>
          <w:tblCellMar>
            <w:top w:w="0" w:type="dxa"/>
            <w:bottom w:w="0" w:type="dxa"/>
          </w:tblCellMar>
        </w:tblPrEx>
        <w:trPr>
          <w:tblCellSpacing w:w="5" w:type="nil"/>
        </w:trPr>
        <w:tc>
          <w:tcPr>
            <w:tcW w:w="550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57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Бурдаков М.В. - начальник Управления информационных ресурсов и технологий, тел.: (495) 607-15-06</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4113"/>
        <w:gridCol w:w="6758"/>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 не менее</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 (%)</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144" type="#_x0000_t75" style="width:114.75pt;height:30.75pt">
                  <v:imagedata r:id="rId355"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N - общее количество показателей, данные по которым опубликованы в ЕМИСС, ед.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k - количество показателей, данные по которым опубликованы позднее срока, установленного ФПСР, ед.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n - доля показателей, данные по которым опубликованы в ЕМИСС в сроки, не позднее установленных ФПСР, %</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Наблюдение осуществляется на основании программного обеспечения ЕМИСС</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75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1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758"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164"/>
        <w:gridCol w:w="1744"/>
        <w:gridCol w:w="2254"/>
        <w:gridCol w:w="2092"/>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показателей, данные по которым опубликованы в ЕМИСС</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показатели ЕМИСС</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показателей, данные </w:t>
            </w:r>
            <w:r>
              <w:rPr>
                <w:rFonts w:ascii="Calibri" w:hAnsi="Calibri" w:cs="Calibri"/>
              </w:rPr>
              <w:lastRenderedPageBreak/>
              <w:t>по которым опубликованы в ЕМИСС позднее срока, установленного ФПСР</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k</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Периодическая отчетность </w:t>
            </w:r>
            <w:r>
              <w:rPr>
                <w:rFonts w:ascii="Calibri" w:hAnsi="Calibri" w:cs="Calibri"/>
              </w:rPr>
              <w:lastRenderedPageBreak/>
              <w:t>Периодическая отчетность</w:t>
            </w:r>
          </w:p>
        </w:tc>
        <w:tc>
          <w:tcPr>
            <w:tcW w:w="16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ЕМИСС доля</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16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показателей данные по которым опубликованы в ЕМИСС в сроки, не позднее установленных ФПСР</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6"/>
        <w:gridCol w:w="5351"/>
      </w:tblGrid>
      <w:tr w:rsidR="00C65754">
        <w:tblPrEx>
          <w:tblCellMar>
            <w:top w:w="0" w:type="dxa"/>
            <w:bottom w:w="0" w:type="dxa"/>
          </w:tblCellMar>
        </w:tblPrEx>
        <w:trPr>
          <w:tblCellSpacing w:w="5" w:type="nil"/>
        </w:trPr>
        <w:tc>
          <w:tcPr>
            <w:tcW w:w="59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статистики</w:t>
            </w:r>
          </w:p>
        </w:tc>
      </w:tr>
      <w:tr w:rsidR="00C65754">
        <w:tblPrEx>
          <w:tblCellMar>
            <w:top w:w="0" w:type="dxa"/>
            <w:bottom w:w="0" w:type="dxa"/>
          </w:tblCellMar>
        </w:tblPrEx>
        <w:trPr>
          <w:tblCellSpacing w:w="5" w:type="nil"/>
        </w:trPr>
        <w:tc>
          <w:tcPr>
            <w:tcW w:w="59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 ф.и.о., должность, телефон,</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Егоренко С.Н. - начальник Управления организации статистического наблюдения и контроля,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607-31-57</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7"/>
        <w:gridCol w:w="3800"/>
        <w:gridCol w:w="7071"/>
      </w:tblGrid>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 - обозначен Д</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 (%)</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долю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32"/>
              </w:rPr>
              <w:pict>
                <v:shape id="_x0000_i1145" type="#_x0000_t75" style="width:129.75pt;height:36pt">
                  <v:imagedata r:id="rId356"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 Д - 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46" type="#_x0000_t75" style="width:21.75pt;height:18.75pt">
                  <v:imagedata r:id="rId357" o:title=""/>
                </v:shape>
              </w:pict>
            </w:r>
            <w:r>
              <w:rPr>
                <w:rFonts w:ascii="Calibri" w:hAnsi="Calibri" w:cs="Calibri"/>
              </w:rPr>
              <w:t xml:space="preserve"> - количество работ, показатели по которым размещены в ЕМИСС;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47" type="#_x0000_t75" style="width:25.5pt;height:18pt">
                  <v:imagedata r:id="rId358" o:title=""/>
                </v:shape>
              </w:pict>
            </w:r>
            <w:r>
              <w:rPr>
                <w:rFonts w:ascii="Calibri" w:hAnsi="Calibri" w:cs="Calibri"/>
              </w:rPr>
              <w:t xml:space="preserve"> - всего количество работ в Федеральном плане статистических работ,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48" type="#_x0000_t75" style="width:29.25pt;height:18.75pt">
                  <v:imagedata r:id="rId359" o:title=""/>
                </v:shape>
              </w:pict>
            </w:r>
            <w:r>
              <w:rPr>
                <w:rFonts w:ascii="Calibri" w:hAnsi="Calibri" w:cs="Calibri"/>
              </w:rPr>
              <w:t xml:space="preserve"> - количество работ, показатели которых нецелесообразно размещать в ЕМИСС.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Отсутствие показателей по ряду работ Федерального плана статистических работ обусловлено тем, что доступ к разрабатываемой по ним информации ограничен либо это работы по подготовке и выпуску информационно-аналитических материалов, официальных статистических публикаций, заполнению вопросников международных организаций и другие, в которых используются показатели, размещенные в ЕМИСС в рамках других работ Плана</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Федерального плана статистических работ, показатели по которым размещены в ЕМИСС в сети Интернет</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раз в год</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2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7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314"/>
        <w:gridCol w:w="1744"/>
        <w:gridCol w:w="2254"/>
        <w:gridCol w:w="2092"/>
        <w:gridCol w:w="2145"/>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3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14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 не менее</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14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Федерального плана статистических работ</w:t>
            </w:r>
          </w:p>
        </w:tc>
        <w:tc>
          <w:tcPr>
            <w:tcW w:w="190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показатели по которым размещены в ЕМИСС</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Краз</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1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Федерального плана статистических работ</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2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Всего количество работ в Федеральном плане статистических работ</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Кобщ</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14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Федерального плана статистических работ</w:t>
            </w:r>
          </w:p>
        </w:tc>
        <w:tc>
          <w:tcPr>
            <w:tcW w:w="19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показатели которых нецелесообразно размещать в ЕМИСС</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Кнераз</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Периодическая отчетность</w:t>
            </w:r>
          </w:p>
        </w:tc>
        <w:tc>
          <w:tcPr>
            <w:tcW w:w="214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Работа Федерального плана статистических работ</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Сплошное наблюдение</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1 - периодическая отчетность; 2 - перепись; 3 - единовременное обследование (учет); 4 - бухгалтерская отчетность; 5 - финансовая отчетность; 6 </w:t>
      </w:r>
      <w:r>
        <w:rPr>
          <w:rFonts w:ascii="Calibri" w:hAnsi="Calibri" w:cs="Calibri"/>
        </w:rPr>
        <w:lastRenderedPageBreak/>
        <w:t>-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6" w:name="Par14954"/>
      <w:bookmarkEnd w:id="416"/>
      <w:r>
        <w:rPr>
          <w:rFonts w:ascii="Calibri" w:hAnsi="Calibri" w:cs="Calibri"/>
        </w:rPr>
        <w:t>Подпрограмма 10</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развитие инновационного центра "Сколково"</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6"/>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782"/>
        <w:gridCol w:w="7089"/>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заявок на регистрацию объектов интеллектуальной собственности, созданных в инновационном центре "Сколково"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суммарное количество заявок на государственную регистрацию интеллектуальной собственности, включая объекты патентного права (изобретение, полезная модель, промышленный образец), средства индивидуализации (товарный знак, наименование места происхождения товаров), а также рассмотренных заявок на государственную регистрацию программы для электронных вычислительных машин, базы данных и топологии интегральных микросхем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49" type="#_x0000_t75" style="width:57.75pt;height:19.5pt">
                  <v:imagedata r:id="rId360" o:title=""/>
                </v:shape>
              </w:pict>
            </w:r>
            <w:r>
              <w:rPr>
                <w:rFonts w:ascii="Calibri" w:hAnsi="Calibri" w:cs="Calibri"/>
              </w:rPr>
              <w:t xml:space="preserve">, </w:t>
            </w:r>
            <w:r>
              <w:rPr>
                <w:rFonts w:ascii="Calibri" w:hAnsi="Calibri" w:cs="Calibri"/>
                <w:position w:val="-14"/>
              </w:rPr>
              <w:pict>
                <v:shape id="_x0000_i1150" type="#_x0000_t75" style="width:23.25pt;height:19.5pt">
                  <v:imagedata r:id="rId361" o:title=""/>
                </v:shape>
              </w:pict>
            </w:r>
            <w:r>
              <w:rPr>
                <w:rFonts w:ascii="Calibri" w:hAnsi="Calibri" w:cs="Calibri"/>
              </w:rPr>
              <w:t xml:space="preserve"> от 1 до n, где n - количество заявок на государственную регистрацию интеллектуальной собственности.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Под объектами интеллектуальной собственности понимаются: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объекты патентного права (изобретение, полезная модель, промышленный образец);</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средства индивидуализации (товарный знак, наименование места происхождения товаров);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программы для электронных вычислительных машин, базы данных и топологии интегральных микросхем.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заявок на государственную регистрацию интеллектуальной собственности, созданных в инновационном центре "Сколково", и принятых решений по их результатам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8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8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89"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90"/>
        <w:gridCol w:w="1744"/>
        <w:gridCol w:w="2254"/>
        <w:gridCol w:w="1849"/>
        <w:gridCol w:w="25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9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5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0"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Заявка на государственную регистрацию интеллектуальной собственности, принятая к рассмотрению</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Эзгрис</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Роспатент</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872"/>
        <w:gridCol w:w="6999"/>
      </w:tblGrid>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патентов, полученных на территории иностранных государств, включая США, Европу, Японию</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суммарное количество патентов, полученных на территории иностранных государств, включая США, Европу и Японию, в результате исследовательской деятельности в рамках инновационного центра "Сколково"</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51" type="#_x0000_t75" style="width:42pt;height:19.5pt">
                  <v:imagedata r:id="rId362" o:title=""/>
                </v:shape>
              </w:pict>
            </w:r>
            <w:r>
              <w:rPr>
                <w:rFonts w:ascii="Calibri" w:hAnsi="Calibri" w:cs="Calibri"/>
              </w:rPr>
              <w:t xml:space="preserve">, </w:t>
            </w:r>
            <w:r>
              <w:rPr>
                <w:rFonts w:ascii="Calibri" w:hAnsi="Calibri" w:cs="Calibri"/>
                <w:position w:val="-14"/>
              </w:rPr>
              <w:pict>
                <v:shape id="_x0000_i1152" type="#_x0000_t75" style="width:23.25pt;height:19.5pt">
                  <v:imagedata r:id="rId361" o:title=""/>
                </v:shape>
              </w:pict>
            </w:r>
            <w:r>
              <w:rPr>
                <w:rFonts w:ascii="Calibri" w:hAnsi="Calibri" w:cs="Calibri"/>
              </w:rPr>
              <w:t xml:space="preserve"> от 1 до n, где n - количество патентов, полученных на территории иностранных государств, включая США, Европу и Японию.</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международных заявок по системе РСТ в России по данным Международной Патентной Организации (WIPO) в 2012 году составило 1014 штук.</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2020 году доля инновационного центра "Сколково" при сохранении текущей динамики составит от 7% до 10% от общего количества международных патентов, получаемых в Российской Федерации</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Суммарное количество патентов, полученных на территории иностранных государств, включая США, Европу и Японию, в результате исследовательской деятельности в рамках инновационного центра "Сколково"</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с 2016 года</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9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7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999"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599"/>
        <w:gridCol w:w="1849"/>
        <w:gridCol w:w="25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Наименования и определения базовых </w:t>
            </w:r>
            <w:r>
              <w:rPr>
                <w:rFonts w:ascii="Calibri" w:hAnsi="Calibri" w:cs="Calibri"/>
              </w:rPr>
              <w:lastRenderedPageBreak/>
              <w:t>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Буквенное обозначение в формуле </w:t>
            </w:r>
            <w:r>
              <w:rPr>
                <w:rFonts w:ascii="Calibri" w:hAnsi="Calibri" w:cs="Calibri"/>
              </w:rPr>
              <w:lastRenderedPageBreak/>
              <w:t>расчета</w:t>
            </w:r>
          </w:p>
        </w:tc>
        <w:tc>
          <w:tcPr>
            <w:tcW w:w="25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Метод сбора информации, индекс формы </w:t>
            </w:r>
            <w:r>
              <w:rPr>
                <w:rFonts w:ascii="Calibri" w:hAnsi="Calibri" w:cs="Calibri"/>
              </w:rPr>
              <w:lastRenderedPageBreak/>
              <w:t>отчетности &lt;1&gt;</w:t>
            </w:r>
          </w:p>
        </w:tc>
        <w:tc>
          <w:tcPr>
            <w:tcW w:w="25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01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Патент, полученный на территории иностранных государств, включая США, Европу и Японию</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8pt;height:18pt">
                  <v:imagedata r:id="rId363" o:title=""/>
                </v:shape>
              </w:pict>
            </w:r>
          </w:p>
        </w:tc>
        <w:tc>
          <w:tcPr>
            <w:tcW w:w="25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 (копия патента)</w:t>
            </w:r>
          </w:p>
        </w:tc>
        <w:tc>
          <w:tcPr>
            <w:tcW w:w="25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Исследовательские центры Сколтех</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2"/>
        <w:gridCol w:w="3598"/>
        <w:gridCol w:w="7314"/>
      </w:tblGrid>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частных инвестиций, привлеченных в инновационную экосистему "Сколково", включая инвестиции в проекты компаний-участников и Сколтех</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частных инвестиций, привлеченных компаниями - участниками проекта "Сколково", а также сумму доходов от выполнения контрактных исследований Сколтеха</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54" type="#_x0000_t75" style="width:188.25pt;height:19.5pt">
                  <v:imagedata r:id="rId364" o:title=""/>
                </v:shape>
              </w:pict>
            </w:r>
            <w:r>
              <w:rPr>
                <w:rFonts w:ascii="Calibri" w:hAnsi="Calibri" w:cs="Calibri"/>
              </w:rPr>
              <w:t xml:space="preserve">, где </w:t>
            </w:r>
            <w:r>
              <w:rPr>
                <w:rFonts w:ascii="Calibri" w:hAnsi="Calibri" w:cs="Calibri"/>
                <w:position w:val="-14"/>
              </w:rPr>
              <w:pict>
                <v:shape id="_x0000_i1155" type="#_x0000_t75" style="width:23.25pt;height:19.5pt">
                  <v:imagedata r:id="rId365" o:title=""/>
                </v:shape>
              </w:pict>
            </w:r>
            <w:r>
              <w:rPr>
                <w:rFonts w:ascii="Calibri" w:hAnsi="Calibri" w:cs="Calibri"/>
              </w:rPr>
              <w:t xml:space="preserve"> от 1 до n, где n - сумма частных инвестиций, привлеченных проектом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lastRenderedPageBreak/>
              <w:pict>
                <v:shape id="_x0000_i1156" type="#_x0000_t75" style="width:63pt;height:19.5pt">
                  <v:imagedata r:id="rId366" o:title=""/>
                </v:shape>
              </w:pict>
            </w:r>
            <w:r>
              <w:rPr>
                <w:rFonts w:ascii="Calibri" w:hAnsi="Calibri" w:cs="Calibri"/>
              </w:rPr>
              <w:t xml:space="preserve"> - частные инвестиции в компании - участники проекта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57" type="#_x0000_t75" style="width:53.25pt;height:19.5pt">
                  <v:imagedata r:id="rId367" o:title=""/>
                </v:shape>
              </w:pict>
            </w:r>
            <w:r>
              <w:rPr>
                <w:rFonts w:ascii="Calibri" w:hAnsi="Calibri" w:cs="Calibri"/>
              </w:rPr>
              <w:t xml:space="preserve"> - частные инвестиции, привлеченные в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 расчету принимается сумма фактически перечисленных средств участникам проекта "Сколково" и фактически перечисленных средств по контрактам Сколтеха (данные бухгалтерского учета).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 данным Российской Ассоциации Венчурных Инвесторов в 2012 г. совокупный объем инвестиций, привлеченных в фонды прямых и венчурных инвестиций в России составил около 6,7 млрд. долл., при этом по данным Dow Jones VentureSource объем венчурных инвестиций в высокотехнологичные отрасли составил около 280 млн. долл. (около 5%), увеличившись в 2006 года примерно в 10 раз. При сохранении текущей динамики роста объемов инвестиций в высокотехнологичных отрасли к 2020 году прогнозная доля инновационного центра "Сколково" составит не менее 10% от совокупного объема рынка венчурных инвестиций России.</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Сумма частных инвестиций, привлеченных в инновационную экосистему "Сколково"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3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45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314"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2014"/>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Частные инвестиции в компании - </w:t>
            </w:r>
            <w:r>
              <w:rPr>
                <w:rFonts w:ascii="Calibri" w:hAnsi="Calibri" w:cs="Calibri"/>
              </w:rPr>
              <w:lastRenderedPageBreak/>
              <w:t>участники проекта "Сколково"</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(И)учСк</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4, 8 (выписка со счета компаний - участников проекта </w:t>
            </w:r>
            <w:r>
              <w:rPr>
                <w:rFonts w:ascii="Calibri" w:hAnsi="Calibri" w:cs="Calibri"/>
              </w:rPr>
              <w:lastRenderedPageBreak/>
              <w:t>"Сколково")</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Компании участники проекта </w:t>
            </w:r>
            <w:r>
              <w:rPr>
                <w:rFonts w:ascii="Calibri" w:hAnsi="Calibri" w:cs="Calibri"/>
              </w:rPr>
              <w:lastRenderedPageBreak/>
              <w:t>"Сколково"</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Частные инвестиции, привлеченные в Сколтех</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(И)СТ</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8 - (контракты Сколтеха и заказчиков исследований)</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53"/>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53"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4414"/>
        <w:gridCol w:w="6457"/>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 участников проекта "Сколково", полученная от результатов исследовательской деятельности (накопленным итогом)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Млрд. руб.</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сумму выручки, полученной компаниями, имеющими статус участника проекта "Сколково", накопленным итогом за отчетные периоды.</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58" type="#_x0000_t75" style="width:63.75pt;height:19.5pt">
                  <v:imagedata r:id="rId368" o:title=""/>
                </v:shape>
              </w:pict>
            </w:r>
            <w:r>
              <w:rPr>
                <w:rFonts w:ascii="Calibri" w:hAnsi="Calibri" w:cs="Calibri"/>
              </w:rPr>
              <w:t xml:space="preserve">, </w:t>
            </w:r>
            <w:r>
              <w:rPr>
                <w:rFonts w:ascii="Calibri" w:hAnsi="Calibri" w:cs="Calibri"/>
                <w:position w:val="-14"/>
              </w:rPr>
              <w:pict>
                <v:shape id="_x0000_i1159" type="#_x0000_t75" style="width:23.25pt;height:19.5pt">
                  <v:imagedata r:id="rId369" o:title=""/>
                </v:shape>
              </w:pict>
            </w:r>
            <w:r>
              <w:rPr>
                <w:rFonts w:ascii="Calibri" w:hAnsi="Calibri" w:cs="Calibri"/>
              </w:rPr>
              <w:t xml:space="preserve"> от 1 до n, где n - сумма выручки компаний - участников проекта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(В)учСк - выручка компании участника проекта "Сколково" накопленным итогом с 2012 года включительно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Накопленный итог выручки компаний - участников проекта </w:t>
            </w:r>
            <w:r>
              <w:rPr>
                <w:rFonts w:ascii="Calibri" w:hAnsi="Calibri" w:cs="Calibri"/>
              </w:rPr>
              <w:lastRenderedPageBreak/>
              <w:t>"Сколково", полученной от исследовательской деятельности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4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457"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Выручка компаний участников проекта "Сколково" накопленным итогом с 2012 года включительно</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(В)учСк</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 Российской Федерации</w:t>
            </w:r>
          </w:p>
        </w:tc>
        <w:tc>
          <w:tcPr>
            <w:tcW w:w="184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699"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757"/>
        <w:gridCol w:w="7114"/>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Число публикаций в журналах, индексируемых в "Сеть науки" (на 1 </w:t>
            </w:r>
            <w:r>
              <w:rPr>
                <w:rFonts w:ascii="Calibri" w:hAnsi="Calibri" w:cs="Calibri"/>
              </w:rPr>
              <w:lastRenderedPageBreak/>
              <w:t>исследователя Сколтех)</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 на 1 ППС в год</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общего количества публикаций, индексируемых в базе данных "Сеть науки", к общему количеству исследователей Сколтеха, имеющих трудовые либо долгосрочные договоры с вузом на 31 декабря года перед определением показателя</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60" type="#_x0000_t75" style="width:57.75pt;height:19.5pt">
                  <v:imagedata r:id="rId370" o:title=""/>
                </v:shape>
              </w:pict>
            </w:r>
            <w:r>
              <w:rPr>
                <w:rFonts w:ascii="Calibri" w:hAnsi="Calibri" w:cs="Calibri"/>
              </w:rPr>
              <w:t xml:space="preserve">, </w:t>
            </w:r>
            <w:r>
              <w:rPr>
                <w:rFonts w:ascii="Calibri" w:hAnsi="Calibri" w:cs="Calibri"/>
                <w:position w:val="-14"/>
              </w:rPr>
              <w:pict>
                <v:shape id="_x0000_i1161" type="#_x0000_t75" style="width:23.25pt;height:19.5pt">
                  <v:imagedata r:id="rId369" o:title=""/>
                </v:shape>
              </w:pict>
            </w:r>
            <w:r>
              <w:rPr>
                <w:rFonts w:ascii="Calibri" w:hAnsi="Calibri" w:cs="Calibri"/>
              </w:rPr>
              <w:t xml:space="preserve"> от 1 до n, где n - количество исследователей Сколтеха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Ст - число публикаций в журналах, индексируемых в "Сеть науки"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публикаций, индексируемых в базе данных "Сеть науки" в 2012 году в целом по Российской Федерации составил 0,15 (при этом указанный показатель по РАН превышает среднероссийский в два раза и составляет 0,3). В Европе средней показатель составляет 0,7, а в США - 1,1. В качестве целевого значения для Сколтеха было поставлено значение 0,7, исходя из фокуса исследований Сколтеха не на фундаментальных, а на прикладных исследованиях, носящих естественнонаучный характер.</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Число публикаций на одного исследователя</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1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5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14"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30"/>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0"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статей, индексированных в базе данных "Сеть науки"</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Ст</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Минобр</w:t>
            </w:r>
          </w:p>
        </w:tc>
        <w:tc>
          <w:tcPr>
            <w:tcW w:w="184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1,8 (система Web of Science)</w:t>
            </w:r>
          </w:p>
        </w:tc>
        <w:tc>
          <w:tcPr>
            <w:tcW w:w="169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Сколтех</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w:t>
            </w:r>
          </w:p>
        </w:tc>
        <w:tc>
          <w:tcPr>
            <w:tcW w:w="2430"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исследователей, сотрудничающих со Сколтех (наличие трудового договора или долгосрочного (от 1 года и более) на 31 декабря перед определением показателя)</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Сколтех</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Сколтех</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 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643"/>
        <w:gridCol w:w="7228"/>
      </w:tblGrid>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Сколтеха, вовлеченных в инновационную деятельность</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отношение числа выпускников магистерских и PhD программ, принятых на работу в научные/индустриальные организации по приоритетным направлениям Сколтеха, а также вовлеченных в развитие стартапов к общему числу выпускников за год</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Алгоритм формирования показателя и методологические пояснения к </w:t>
            </w:r>
            <w:r>
              <w:rPr>
                <w:rFonts w:ascii="Calibri" w:hAnsi="Calibri" w:cs="Calibri"/>
              </w:rPr>
              <w:lastRenderedPageBreak/>
              <w:t>показателю</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lastRenderedPageBreak/>
              <w:pict>
                <v:shape id="_x0000_i1162" type="#_x0000_t75" style="width:78pt;height:19.5pt">
                  <v:imagedata r:id="rId371" o:title=""/>
                </v:shape>
              </w:pict>
            </w:r>
            <w:r>
              <w:rPr>
                <w:rFonts w:ascii="Calibri" w:hAnsi="Calibri" w:cs="Calibri"/>
              </w:rPr>
              <w:t xml:space="preserve">, </w:t>
            </w:r>
            <w:r>
              <w:rPr>
                <w:rFonts w:ascii="Calibri" w:hAnsi="Calibri" w:cs="Calibri"/>
                <w:position w:val="-14"/>
              </w:rPr>
              <w:pict>
                <v:shape id="_x0000_i1163" type="#_x0000_t75" style="width:23.25pt;height:19.5pt">
                  <v:imagedata r:id="rId369" o:title=""/>
                </v:shape>
              </w:pict>
            </w:r>
            <w:r>
              <w:rPr>
                <w:rFonts w:ascii="Calibri" w:hAnsi="Calibri" w:cs="Calibri"/>
              </w:rPr>
              <w:t xml:space="preserve"> от 1 до n, где n - количество выпускников Сколтеха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ВПР(С) - выпускники, принятые на работу и вовлеченные в развитие </w:t>
            </w:r>
            <w:r>
              <w:rPr>
                <w:rFonts w:ascii="Calibri" w:hAnsi="Calibri" w:cs="Calibri"/>
              </w:rPr>
              <w:lastRenderedPageBreak/>
              <w:t>стартапов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n - общее количество выпускников</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вовлеченности выпускников Сколтеха в инновационную деятельность</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2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49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228"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014"/>
        <w:gridCol w:w="1744"/>
        <w:gridCol w:w="2254"/>
        <w:gridCol w:w="2104"/>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10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&lt;1&gt; отчетности</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Выпускники Сколтеха, принятые на работу и вовлеченные в развитие стартапов</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ВПР(С)</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210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8 (данные компаний-работодателей)</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выпускников Сколтеха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210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Сколтех</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0"/>
        <w:gridCol w:w="6630"/>
      </w:tblGrid>
      <w:tr w:rsidR="00C65754">
        <w:tblPrEx>
          <w:tblCellMar>
            <w:top w:w="0" w:type="dxa"/>
            <w:bottom w:w="0" w:type="dxa"/>
          </w:tblCellMar>
        </w:tblPrEx>
        <w:trPr>
          <w:tblCellSpacing w:w="5" w:type="nil"/>
        </w:trPr>
        <w:tc>
          <w:tcPr>
            <w:tcW w:w="459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ответственный за сбор и представление </w:t>
            </w:r>
            <w:r>
              <w:rPr>
                <w:rFonts w:ascii="Calibri" w:hAnsi="Calibri" w:cs="Calibri"/>
              </w:rPr>
              <w:lastRenderedPageBreak/>
              <w:t>информации</w:t>
            </w:r>
          </w:p>
        </w:tc>
        <w:tc>
          <w:tcPr>
            <w:tcW w:w="663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Минфин России</w:t>
            </w:r>
          </w:p>
        </w:tc>
      </w:tr>
      <w:tr w:rsidR="00C65754">
        <w:tblPrEx>
          <w:tblCellMar>
            <w:top w:w="0" w:type="dxa"/>
            <w:bottom w:w="0" w:type="dxa"/>
          </w:tblCellMar>
        </w:tblPrEx>
        <w:trPr>
          <w:tblCellSpacing w:w="5" w:type="nil"/>
        </w:trPr>
        <w:tc>
          <w:tcPr>
            <w:tcW w:w="459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66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598"/>
        <w:gridCol w:w="7486"/>
      </w:tblGrid>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Интегральный вклад проекта "Сколково" в экономику Российской Федерации (накопленным итогом)</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Млрд. рублей</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экономический вклад "Сколково", рассчитываемый на основе суммарного вклада компаний, связанных с экосистемой.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рассчитывается на основании социологического опроса компаний, связанных с экосистемой "Сколково", с дальнейшей экстраполяцией данных на всю совокупность.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64" type="#_x0000_t75" style="width:222pt;height:18.75pt">
                  <v:imagedata r:id="rId372" o:title=""/>
                </v:shape>
              </w:pic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Данный показатель характеризует эффективность проекта на полноценной операционной фазе, которая в 2020 году составит всего 4 года. Временной промежуток от момента начала инновационной активности компаний до полноценного влияния проекта на экономику страны составляет от 5 до 10 лет в зависимости от отрасли. Таким образом, эффективность от инвестирования в проект необходимо исчислять к 2030 году (эффект по предварительным расчетам составит от 1,1 до 1,5 трлн. руб.).</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Используется методика социологического опроса с экстраполяцией данных.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w:t>
            </w:r>
            <w:r>
              <w:rPr>
                <w:rFonts w:ascii="Calibri" w:hAnsi="Calibri" w:cs="Calibri"/>
              </w:rPr>
              <w:pict>
                <v:shape id="_x0000_i1165" type="#_x0000_t75" style="width:49.5pt;height:18pt">
                  <v:imagedata r:id="rId373" o:title=""/>
                </v:shape>
              </w:pict>
            </w:r>
            <w:r>
              <w:rPr>
                <w:rFonts w:ascii="Calibri" w:hAnsi="Calibri" w:cs="Calibri"/>
              </w:rPr>
              <w:t xml:space="preserve"> выполняется на основании выборочного опроса среди участников и выпускников инновационного центра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Руководители (сотрудники) компаний - участников проекта "Сколково", в том числе выбывших из экосистемы;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Бывшие руководители (сотрудники) компаний - участников проекта "Сколково", в том числе выбывших из экосистемы;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Выпускники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Выпускники программы ОтУС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Объем выборки компаний: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1. Компании - участники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Бывшие компании - участники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Компании, основанные выпускниками Сколтех;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Компании, основанные сотрудниками / бывшими сотрудниками компаний - участников проекта "Сколково", в том числе выбывших из экосистемы;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Компании, основанные участниками программы ОтУС;</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Из оценки исключаются компании: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Прекратившие активную деятельность на момент проведения оценки (находящиеся в процессе ликвидации, банкротства);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Поглощенные/проданные другим компаниям;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 Не являющиеся резидентами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Выборочные результаты экстраполируются на основную выборку с учетом доли полученных ответов, коэффициента предпринимателей в выборке, количества компаний на 1 предпринимателя, коэффициента соучредителей, коэффициента выживаемости, коэффициента повторных стартапов.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66" type="#_x0000_t75" style="width:185.25pt;height:18pt">
                  <v:imagedata r:id="rId374" o:title=""/>
                </v:shape>
              </w:pict>
            </w:r>
            <w:r>
              <w:rPr>
                <w:rFonts w:ascii="Calibri" w:hAnsi="Calibri" w:cs="Calibri"/>
              </w:rPr>
              <w:t>, т.е. разность дохода фирм и промежуточной стоимости производства товаров и услуг по результатам сбора данных среди участников и выпускников инновационного центра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67" type="#_x0000_t75" style="width:195.75pt;height:18pt">
                  <v:imagedata r:id="rId375" o:title=""/>
                </v:shape>
              </w:pict>
            </w:r>
            <w:r>
              <w:rPr>
                <w:rFonts w:ascii="Calibri" w:hAnsi="Calibri" w:cs="Calibri"/>
              </w:rPr>
              <w:t>, т.е. разность дохода фирм и промежуточной стоимости производства товаров и услуг на основании данных центров НИОКР</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68" type="#_x0000_t75" style="width:177pt;height:18.75pt">
                  <v:imagedata r:id="rId376" o:title=""/>
                </v:shape>
              </w:pict>
            </w:r>
            <w:r>
              <w:rPr>
                <w:rFonts w:ascii="Calibri" w:hAnsi="Calibri" w:cs="Calibri"/>
              </w:rPr>
              <w:t>, т.е. разность дохода фирм и промежуточной стоимости производства товаров и услуг на основании данных компаний-девелоперов</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Вклад проекта "Сколково" в экономику Российской Федерации</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с 2015 года</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48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 уровень</w:t>
            </w:r>
          </w:p>
        </w:tc>
      </w:tr>
      <w:tr w:rsidR="00C65754">
        <w:tblPrEx>
          <w:tblCellMar>
            <w:top w:w="0" w:type="dxa"/>
            <w:bottom w:w="0" w:type="dxa"/>
          </w:tblCellMar>
        </w:tblPrEx>
        <w:trPr>
          <w:tblCellSpacing w:w="5" w:type="nil"/>
        </w:trPr>
        <w:tc>
          <w:tcPr>
            <w:tcW w:w="480"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Дополнительные характеристики, необходимые для описания </w:t>
            </w:r>
            <w:r>
              <w:rPr>
                <w:rFonts w:ascii="Calibri" w:hAnsi="Calibri" w:cs="Calibri"/>
              </w:rPr>
              <w:lastRenderedPageBreak/>
              <w:t>показателя</w:t>
            </w:r>
          </w:p>
        </w:tc>
        <w:tc>
          <w:tcPr>
            <w:tcW w:w="7486"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3285"/>
        <w:gridCol w:w="1744"/>
        <w:gridCol w:w="2254"/>
        <w:gridCol w:w="1849"/>
        <w:gridCol w:w="2284"/>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328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8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8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компаниями, участвующими в проекте "Сколково". Для целей расчета рассматриваются компании - участники и "выпускники", центры НИОКР ключевых партнеров, девелоперы</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ВВП(ВСк)</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участвующие в проекте "Сколково"</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компанией, связанной с инновационной экосистемой "Сколково": текущие участники проекта "Сколково"; бывшие участники проекта "Сколково"; компании, основанные выпускниками Сколтех; компании, основанные сотрудниками/бывшими сотрудниками компаний-участников проекта "Сколково", в том числе выбывших из экосистемы; компании, основанные участниками программы ОтУС</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9" type="#_x0000_t75" style="width:49.5pt;height:18pt">
                  <v:imagedata r:id="rId377" o:title=""/>
                </v:shape>
              </w:pic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участники проекта "Сколково" и "выпускники" проекта "Сколково"</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Вклад в ВВП, выполненный компанией, центром НИОКР ключевого партнера проекта </w:t>
            </w:r>
            <w:r>
              <w:rPr>
                <w:rFonts w:ascii="Calibri" w:hAnsi="Calibri" w:cs="Calibri"/>
              </w:rPr>
              <w:lastRenderedPageBreak/>
              <w:t>"Сколково"</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70" type="#_x0000_t75" style="width:53.25pt;height:18pt">
                  <v:imagedata r:id="rId378" o:title=""/>
                </v:shape>
              </w:pic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Компании, центры НИОКР ключевых партнеров проекта </w:t>
            </w:r>
            <w:r>
              <w:rPr>
                <w:rFonts w:ascii="Calibri" w:hAnsi="Calibri" w:cs="Calibri"/>
              </w:rPr>
              <w:lastRenderedPageBreak/>
              <w:t>"Сколково"</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Вклад в ВВП, выполненный компанией девелопером, участвующим в создании и развитии инфраструктуры инновационного центра "Сколково"</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1" type="#_x0000_t75" style="width:48.75pt;height:18.75pt">
                  <v:imagedata r:id="rId379" o:title=""/>
                </v:shape>
              </w:pic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девелоперы, участвующие в создании и развитии инфраструктуры инновационного центра "Сколково"</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Выручка (доход фирмы)</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Материальные затраты</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Косвенные налоги</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Кн</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4" w:type="dxa"/>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8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компаний, связанных с проектом "Сколково"</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 "выпускники" проекта "Сколково"</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688"/>
        <w:gridCol w:w="7183"/>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Коэффициент пригодности инновационного центра для жизни и работы (коэффициент счастья)</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Пункты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 изменение уровня комфортности жизни в иннограде </w:t>
            </w:r>
            <w:r>
              <w:rPr>
                <w:rFonts w:ascii="Calibri" w:hAnsi="Calibri" w:cs="Calibri"/>
              </w:rPr>
              <w:lastRenderedPageBreak/>
              <w:t>Сколково (доступность товаров, безопасность жизни, уровень образования и здравоохранения, культурная и экологическая привлекательность, эффективность инфраструктуры) и степени вовлеченности его жителей/участников в инновационную среду</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172" type="#_x0000_t75" style="width:37.5pt;height:19.5pt">
                  <v:imagedata r:id="rId380" o:title=""/>
                </v:shape>
              </w:pict>
            </w:r>
            <w:r>
              <w:rPr>
                <w:rFonts w:ascii="Calibri" w:hAnsi="Calibri" w:cs="Calibri"/>
              </w:rPr>
              <w:t xml:space="preserve">, </w:t>
            </w:r>
            <w:r>
              <w:rPr>
                <w:rFonts w:ascii="Calibri" w:hAnsi="Calibri" w:cs="Calibri"/>
              </w:rPr>
              <w:pict>
                <v:shape id="_x0000_i1173" type="#_x0000_t75" style="width:23.25pt;height:19.5pt">
                  <v:imagedata r:id="rId381" o:title=""/>
                </v:shape>
              </w:pict>
            </w:r>
            <w:r>
              <w:rPr>
                <w:rFonts w:ascii="Calibri" w:hAnsi="Calibri" w:cs="Calibri"/>
              </w:rPr>
              <w:t xml:space="preserve"> от 1 до n, где n - уровень коэффициента пригодности для жизни (коэффициента счастья)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Основан на принципах исследования корпоративной вовлеченности и принципах определения уровня благополучия/счастья для жителей городов и регионов (Gallup Wellbeing Study).</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Индекс рассчитывается как среднее арифметическое индексов всех респондентов.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Для сбора информации используется комплексная методика: анкетирование, исследование статистической информации, опросы.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Учитываются следующие критерии: уровень благополучия, вовлеченность в инновации, вовлеченность в сообщество, реализация личностного потенциала, финансовая привлекательность, привлекательность работы.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Для раскрытия содержания критериев будут выделены следующие ключевые показатели: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 Уровень благополучия ("wellbeing index"): удовлетворенность инфраструктурой Сколково; создание собственной среды для жизни; ожидаемая продолжительность жизни; наличие условий социальной сплоченности; долгосрочное социальное предпринимательство; экологическая привлекательность.</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 Вовлеченность в инновации: понимание своих задач и функций в инновационных процессах Сколково; возможность коммерциализации результатов инноваций; развитие навыков инновационного предпринимательства; связи с инновационными вузами; условия для развития инновационных компаний.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3. Вовлеченность в сообщество (proximity index): отсутствие внутренних барьеров для профессиональной коммуникации; наличие стимулов к совместному получению и использованию знаний; наличие условий для совместной деятельности и сотрудничества; возможности междисциплинарного профессионального общения; возможности институционального взаимодействия (Технопарк-Сколтех-Ключевые </w:t>
            </w:r>
            <w:r>
              <w:rPr>
                <w:rFonts w:ascii="Calibri" w:hAnsi="Calibri" w:cs="Calibri"/>
              </w:rPr>
              <w:lastRenderedPageBreak/>
              <w:t>партнеры); вовлеченность в мировой профессиональный контекст; долгосрочное социальное предпринимательство; возможность воздействовать на управленческие практики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 Реализация личностного потенциала: карьерные возможности; признание, в том числе на международном уровне; повышение личного профессионального уровня (учебы, стажировки и тренинги); возможности самореализации для членов семей.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 Финансовая привлекательность: уровень доходов; покупательская способность; льготы и социальные выплаты; перспективы улучшения финансового положения.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 Привлекательность работы: эффективность нематериальной инфраструктуры (оборудование, материалы, информация); осознание важности своего проекта; гордость за профессию и свою компанию; видение перспектив своего проекта; стабильность перспектив занятости; наличие инновационной среды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Уровень комфортности инновационного города "Сколково" для жизни и работы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88"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Временные характеристики показателя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 с 2016 года</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18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183"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194"/>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19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9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Цифровой индекс</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1, 2, 3</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9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критериев, по которым ведется </w:t>
            </w:r>
            <w:r>
              <w:rPr>
                <w:rFonts w:ascii="Calibri" w:hAnsi="Calibri" w:cs="Calibri"/>
              </w:rPr>
              <w:lastRenderedPageBreak/>
              <w:t>оценка комфортности жизни в инновационном городе "Сколково"</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88"/>
        <w:gridCol w:w="7179"/>
      </w:tblGrid>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717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r>
      <w:tr w:rsidR="00C65754">
        <w:tblPrEx>
          <w:tblCellMar>
            <w:top w:w="0" w:type="dxa"/>
            <w:bottom w:w="0" w:type="dxa"/>
          </w:tblCellMar>
        </w:tblPrEx>
        <w:trPr>
          <w:tblCellSpacing w:w="5" w:type="nil"/>
        </w:trPr>
        <w:tc>
          <w:tcPr>
            <w:tcW w:w="428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 (контактная информация: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ф.и.о., должность, телефон, адрес электронной почты)</w:t>
            </w:r>
          </w:p>
        </w:tc>
        <w:tc>
          <w:tcPr>
            <w:tcW w:w="717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Наговицин С.В. - директор Департамента бюджетной политики в сфере инноваций, промышленности гражданского назначения, энергетики, связи и частно-государственного партнерства Министерства финансов Российской Федерации, тел. (495) 987-91-01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598"/>
        <w:gridCol w:w="7333"/>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Сокращение средних сроков коммерциализации проектов участников проекта "Сколково"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 динамику сокращения сроков прохождения компаниями участниками стадий развития проектов</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w:t>
            </w:r>
          </w:p>
        </w:tc>
        <w:tc>
          <w:tcPr>
            <w:tcW w:w="7333"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174" type="#_x0000_t75" style="width:168pt;height:33.75pt">
                  <v:imagedata r:id="rId382" o:title=""/>
                </v:shape>
              </w:pict>
            </w:r>
            <w:r>
              <w:rPr>
                <w:rFonts w:ascii="Calibri" w:hAnsi="Calibri" w:cs="Calibri"/>
              </w:rPr>
              <w:t xml:space="preserve">, </w:t>
            </w:r>
            <w:r>
              <w:rPr>
                <w:rFonts w:ascii="Calibri" w:hAnsi="Calibri" w:cs="Calibri"/>
                <w:position w:val="-14"/>
              </w:rPr>
              <w:pict>
                <v:shape id="_x0000_i1175" type="#_x0000_t75" style="width:23.25pt;height:19.5pt">
                  <v:imagedata r:id="rId383" o:title=""/>
                </v:shape>
              </w:pict>
            </w:r>
            <w:r>
              <w:rPr>
                <w:rFonts w:ascii="Calibri" w:hAnsi="Calibri" w:cs="Calibri"/>
              </w:rPr>
              <w:t xml:space="preserve"> от 1 до m, где m - количество кластеров Фонда "Сколково"</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position w:val="-10"/>
              </w:rPr>
              <w:pict>
                <v:shape id="_x0000_i1176" type="#_x0000_t75" style="width:52.5pt;height:18pt">
                  <v:imagedata r:id="rId384" o:title=""/>
                </v:shape>
              </w:pict>
            </w:r>
            <w:r>
              <w:rPr>
                <w:rFonts w:ascii="Calibri" w:hAnsi="Calibri" w:cs="Calibri"/>
              </w:rPr>
              <w:t xml:space="preserve"> - сокращение сроков прохождения компаниями участниками стадий развития проектов в рамках кластера Фонда "Сколково"</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position w:val="-4"/>
              </w:rPr>
              <w:pict>
                <v:shape id="_x0000_i1177" type="#_x0000_t75" style="width:18.75pt;height:15.75pt">
                  <v:imagedata r:id="rId385" o:title=""/>
                </v:shape>
              </w:pict>
            </w:r>
            <w:r>
              <w:rPr>
                <w:rFonts w:ascii="Calibri" w:hAnsi="Calibri" w:cs="Calibri"/>
              </w:rPr>
              <w:t xml:space="preserve"> - количество компаний участников проекта "Сколково" в кластере Фонда "Сколково"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n - общее количество компаний участников проекта "Сколково" на момент </w:t>
            </w:r>
            <w:r>
              <w:rPr>
                <w:rFonts w:ascii="Calibri" w:hAnsi="Calibri" w:cs="Calibri"/>
              </w:rPr>
              <w:lastRenderedPageBreak/>
              <w:t>расчета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 - матрица процентного отклонения сроков, каждый из элементов является отношением сроков по соответствующему кластеру/этапу</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Динамика сокращения сроков коммерциализации проектов участников проекта "Сколково"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33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Региональный</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9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333"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Средние арифметические значения сроков по каждой стадии по каждому кластеру формируют матрицу размерности K x S, где:</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K - количество кластеров Фонда,</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S - количество стадий исследовательской деятельности.</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Матрица процентного отклонения текущих сроков. Каждый элемент данной матрицы рассчитывается по формуле</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178" type="#_x0000_t75" style="width:185.25pt;height:38.25pt">
                  <v:imagedata r:id="rId386" o:title=""/>
                </v:shape>
              </w:pic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где i - кластер,</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j - стадия исследовательской деятельности</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Срок стадии - срок прохождения стадии исследовательского проекта для компании, расчет средних сроков выполняется в рамках компаний одного кластера (i) и одной стадии (j).</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Средневзвешенный по количеству проектов на каждой стадии показатель процентного отклонения текущих сроков для каждого кластера &lt; 100% означает сокращение, &gt; 100% - увеличение сроков реализации стадий относительно предыдущего периода.</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608"/>
        <w:gridCol w:w="1744"/>
        <w:gridCol w:w="2254"/>
        <w:gridCol w:w="1849"/>
        <w:gridCol w:w="1699"/>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169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Сокращение сроков </w:t>
            </w:r>
            <w:r>
              <w:rPr>
                <w:rFonts w:ascii="Calibri" w:hAnsi="Calibri" w:cs="Calibri"/>
              </w:rPr>
              <w:lastRenderedPageBreak/>
              <w:t>прохождения компаниями участниками стадий развития проектов в рамках кластера Фонда "Сколково"</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79" type="#_x0000_t75" style="width:52.5pt;height:18pt">
                  <v:imagedata r:id="rId384" o:title=""/>
                </v:shape>
              </w:pict>
            </w:r>
          </w:p>
        </w:tc>
        <w:tc>
          <w:tcPr>
            <w:tcW w:w="225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Компании </w:t>
            </w:r>
            <w:r>
              <w:rPr>
                <w:rFonts w:ascii="Calibri" w:hAnsi="Calibri" w:cs="Calibri"/>
              </w:rPr>
              <w:lastRenderedPageBreak/>
              <w:t>участники проекта "Сколково"</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6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компаний участников проекта "Сколково" в кластере</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0" type="#_x0000_t75" style="width:18.75pt;height:15.75pt">
                  <v:imagedata r:id="rId385" o:title=""/>
                </v:shape>
              </w:pic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компаний участников проекта "Сколково" на момент расчета</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5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8"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Матрица процентного отклонения сроков, каждый из элементов которой является отношением сроков по соответствующему кластеру / этапу</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M</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Фонд "Сколково"</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9"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Компании участники проекта "Сколково"</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jc w:val="center"/>
        <w:outlineLvl w:val="2"/>
        <w:rPr>
          <w:rFonts w:ascii="Calibri" w:hAnsi="Calibri" w:cs="Calibri"/>
        </w:rPr>
      </w:pPr>
      <w:bookmarkStart w:id="417" w:name="Par15574"/>
      <w:bookmarkEnd w:id="417"/>
      <w:r>
        <w:rPr>
          <w:rFonts w:ascii="Calibri" w:hAnsi="Calibri" w:cs="Calibri"/>
        </w:rPr>
        <w:t>Федеральная целевая программа</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единой государственной системы регистрации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прав и кадастрового учета недвижимости</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(2014 - 2019 годы)"</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2"/>
        <w:gridCol w:w="6118"/>
      </w:tblGrid>
      <w:tr w:rsidR="00C65754">
        <w:tblPrEx>
          <w:tblCellMar>
            <w:top w:w="0" w:type="dxa"/>
            <w:bottom w:w="0" w:type="dxa"/>
          </w:tblCellMar>
        </w:tblPrEx>
        <w:trPr>
          <w:tblCellSpacing w:w="5" w:type="nil"/>
        </w:trPr>
        <w:tc>
          <w:tcPr>
            <w:tcW w:w="51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Субъект официального статистического учета, ответственный за сбор и представление </w:t>
            </w:r>
            <w:r>
              <w:rPr>
                <w:rFonts w:ascii="Calibri" w:hAnsi="Calibri" w:cs="Calibri"/>
              </w:rPr>
              <w:lastRenderedPageBreak/>
              <w:t>информации</w:t>
            </w:r>
          </w:p>
        </w:tc>
        <w:tc>
          <w:tcPr>
            <w:tcW w:w="61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1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ответственный за формирование показателя</w:t>
            </w:r>
          </w:p>
        </w:tc>
        <w:tc>
          <w:tcPr>
            <w:tcW w:w="611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Осипова Александра Александровна, начальник Управления информационных технологий и эксплуатации систем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526-77-11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871"/>
        <w:gridCol w:w="7000"/>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определяется как отношение количества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 переведенных в электронный вид к общему количеству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00"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характеризующий долю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181" type="#_x0000_t75" style="width:102pt;height:36pt">
                  <v:imagedata r:id="rId387" o:title=""/>
                </v:shape>
              </w:pict>
            </w:r>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182" type="#_x0000_t75" style="width:30pt;height:18.75pt">
                  <v:imagedata r:id="rId388" o:title=""/>
                </v:shape>
              </w:pict>
            </w:r>
            <w:r>
              <w:rPr>
                <w:rFonts w:ascii="Calibri" w:hAnsi="Calibri" w:cs="Calibri"/>
              </w:rPr>
              <w:t xml:space="preserve"> - количество дел Единого</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 переведенных в электронный вид;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83" type="#_x0000_t75" style="width:24pt;height:18pt">
                  <v:imagedata r:id="rId389" o:title=""/>
                </v:shape>
              </w:pict>
            </w:r>
            <w:r>
              <w:rPr>
                <w:rFonts w:ascii="Calibri" w:hAnsi="Calibri" w:cs="Calibri"/>
              </w:rPr>
              <w:t xml:space="preserve"> - общее количество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Данные о количестве сформированных дел содержатся в форме N 8 "Сведения о деятельности Федеральной службы государственной регистрации прав, кадастра и картографии по государственной регистрации прав на недвижимое имущество и сделок с ним", утвержденной Федеральной службы государственной регистрации, кадастра и картографии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7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0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Данные для расчета показателя (используется ведомственная статистика, формируемая на основании данных мониторинга)</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При описании формулы или алгоритма необходимо использовать буквенные обозначения базовых показателей. Если имеется утвержденная </w:t>
      </w:r>
      <w:r>
        <w:rPr>
          <w:rFonts w:ascii="Calibri" w:hAnsi="Calibri" w:cs="Calibri"/>
        </w:rPr>
        <w:lastRenderedPageBreak/>
        <w:t>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
        <w:gridCol w:w="2416"/>
        <w:gridCol w:w="1744"/>
        <w:gridCol w:w="2296"/>
        <w:gridCol w:w="2092"/>
        <w:gridCol w:w="2254"/>
        <w:gridCol w:w="1905"/>
      </w:tblGrid>
      <w:tr w:rsidR="00C65754">
        <w:tblPrEx>
          <w:tblCellMar>
            <w:top w:w="0" w:type="dxa"/>
            <w:bottom w:w="0" w:type="dxa"/>
          </w:tblCellMar>
        </w:tblPrEx>
        <w:trPr>
          <w:tblCellSpacing w:w="5" w:type="nil"/>
        </w:trPr>
        <w:tc>
          <w:tcPr>
            <w:tcW w:w="356"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определения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35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16"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 переведенных в электронный вид</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30pt;height:18.75pt">
                  <v:imagedata r:id="rId388" o:title=""/>
                </v:shape>
              </w:pic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35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Общее количество сформированных дел Единого государственного реестра прав на недвижимое имущество и сделок с ним и государственного кадастра недвижимости </w:t>
            </w:r>
            <w:r>
              <w:rPr>
                <w:rFonts w:ascii="Calibri" w:hAnsi="Calibri" w:cs="Calibri"/>
              </w:rPr>
              <w:lastRenderedPageBreak/>
              <w:t>(единого государственного реестра объектов недвижимости)</w:t>
            </w:r>
          </w:p>
        </w:tc>
        <w:tc>
          <w:tcPr>
            <w:tcW w:w="174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85" type="#_x0000_t75" style="width:24pt;height:18pt">
                  <v:imagedata r:id="rId389" o:title=""/>
                </v:shape>
              </w:pict>
            </w:r>
          </w:p>
        </w:tc>
        <w:tc>
          <w:tcPr>
            <w:tcW w:w="229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94"/>
        <w:gridCol w:w="6126"/>
      </w:tblGrid>
      <w:tr w:rsidR="00C65754">
        <w:tblPrEx>
          <w:tblCellMar>
            <w:top w:w="0" w:type="dxa"/>
            <w:bottom w:w="0" w:type="dxa"/>
          </w:tblCellMar>
        </w:tblPrEx>
        <w:trPr>
          <w:tblCellSpacing w:w="5" w:type="nil"/>
        </w:trPr>
        <w:tc>
          <w:tcPr>
            <w:tcW w:w="50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09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12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Осипова Александра Александровна, начальник Управления информационных технологий и эксплуатации систем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526-77-11</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4340"/>
        <w:gridCol w:w="6531"/>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внедрен единый государственный реестр объектов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внедрение единого государственного реестра объектов недвижимости в субъектах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6531" w:type="dxa"/>
          </w:tcPr>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характеризующий внедрение единого государственного реестра объектов недвижимости в субъектах Российской Федерации,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86" type="#_x0000_t75" style="width:46.5pt;height:33.75pt">
                  <v:imagedata r:id="rId390" o:title=""/>
                </v:shape>
              </w:pict>
            </w:r>
            <w:r>
              <w:rPr>
                <w:rFonts w:ascii="Calibri" w:hAnsi="Calibri" w:cs="Calibri"/>
              </w:rPr>
              <w:t>,</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jc w:val="both"/>
              <w:rPr>
                <w:rFonts w:ascii="Calibri" w:hAnsi="Calibri" w:cs="Calibri"/>
              </w:rPr>
            </w:pPr>
            <w:r>
              <w:rPr>
                <w:rFonts w:ascii="Calibri" w:hAnsi="Calibri" w:cs="Calibri"/>
              </w:rPr>
              <w:t>i - номер субъекта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187" type="#_x0000_t75" style="width:12pt;height:18pt">
                  <v:imagedata r:id="rId391" o:title=""/>
                </v:shape>
              </w:pict>
            </w:r>
            <w:r>
              <w:rPr>
                <w:rFonts w:ascii="Calibri" w:hAnsi="Calibri" w:cs="Calibri"/>
              </w:rPr>
              <w:t xml:space="preserve"> - параметр, определяющий состояние работ по внедрению единого государственного реестра объектов недвижимости на территории субъекта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При этом: </w:t>
            </w:r>
            <w:r>
              <w:rPr>
                <w:rFonts w:ascii="Calibri" w:hAnsi="Calibri" w:cs="Calibri"/>
                <w:position w:val="-12"/>
              </w:rPr>
              <w:pict>
                <v:shape id="_x0000_i1188" type="#_x0000_t75" style="width:30.75pt;height:18pt">
                  <v:imagedata r:id="rId392" o:title=""/>
                </v:shape>
              </w:pict>
            </w:r>
            <w:r>
              <w:rPr>
                <w:rFonts w:ascii="Calibri" w:hAnsi="Calibri" w:cs="Calibri"/>
              </w:rPr>
              <w:t>, если все работы по внедрению единого государственного реестра объектов недвижимости на территории субъекта Российской Федерации завершены;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89" type="#_x0000_t75" style="width:32.25pt;height:18pt">
                  <v:imagedata r:id="rId393" o:title=""/>
                </v:shape>
              </w:pict>
            </w:r>
            <w:r>
              <w:rPr>
                <w:rFonts w:ascii="Calibri" w:hAnsi="Calibri" w:cs="Calibri"/>
              </w:rPr>
              <w:t>, если в субъекте Российской Федерации работы по внедрению единого государственного реестра объектов недвижимости не завершены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Внедрение единого государственного реестра объектов недвижимости в субъектах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53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4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53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416"/>
        <w:gridCol w:w="1744"/>
        <w:gridCol w:w="2296"/>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1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1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параметр, определяющий состояние работ по внедрению единого государственного реестра объектов недвижимости на </w:t>
            </w:r>
            <w:r>
              <w:rPr>
                <w:rFonts w:ascii="Calibri" w:hAnsi="Calibri" w:cs="Calibri"/>
              </w:rPr>
              <w:lastRenderedPageBreak/>
              <w:t>территории субъекта Российской Федерации</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90" type="#_x0000_t75" style="width:12pt;height:18pt">
                  <v:imagedata r:id="rId391" o:title=""/>
                </v:shape>
              </w:pict>
            </w:r>
          </w:p>
        </w:tc>
        <w:tc>
          <w:tcPr>
            <w:tcW w:w="229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8"/>
        <w:gridCol w:w="6112"/>
      </w:tblGrid>
      <w:tr w:rsidR="00C65754">
        <w:tblPrEx>
          <w:tblCellMar>
            <w:top w:w="0" w:type="dxa"/>
            <w:bottom w:w="0" w:type="dxa"/>
          </w:tblCellMar>
        </w:tblPrEx>
        <w:trPr>
          <w:tblCellSpacing w:w="5" w:type="nil"/>
        </w:trPr>
        <w:tc>
          <w:tcPr>
            <w:tcW w:w="51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1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10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11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Козупица Сергей Андреевич, начальник Управления картографии и инфраструктуры пространственных данных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(499) 124-57-14</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919"/>
        <w:gridCol w:w="6952"/>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осуществлен переход к единой геоцентрической открытой системе координат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количество субъектов Российской Федерации, на территории которых осуществлен переход к единой геоцентрической открытой системе координат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количество субъектов Российской Федерации, на территории которых осуществлен переход к единой геоцентрической открытой системе координат,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1" type="#_x0000_t75" style="width:65.25pt;height:33.75pt">
                  <v:imagedata r:id="rId394" o:title=""/>
                </v:shape>
              </w:pic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где </w:t>
            </w:r>
            <w:r>
              <w:rPr>
                <w:rFonts w:ascii="Calibri" w:hAnsi="Calibri" w:cs="Calibri"/>
                <w:position w:val="-12"/>
              </w:rPr>
              <w:pict>
                <v:shape id="_x0000_i1192" type="#_x0000_t75" style="width:15.75pt;height:18pt">
                  <v:imagedata r:id="rId395" o:title=""/>
                </v:shape>
              </w:pict>
            </w:r>
            <w:r>
              <w:rPr>
                <w:rFonts w:ascii="Calibri" w:hAnsi="Calibri" w:cs="Calibri"/>
              </w:rPr>
              <w:t xml:space="preserve"> - параметр, определяющий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состояние работ по переходу к единой геоцентрической открытой системе координат ведения государственного кадастра недвижимости, </w:t>
            </w:r>
            <w:r>
              <w:rPr>
                <w:rFonts w:ascii="Calibri" w:hAnsi="Calibri" w:cs="Calibri"/>
              </w:rPr>
              <w:lastRenderedPageBreak/>
              <w:t>в том числе завершение пересчета всех пространственных данных государственного кадастра недвижимости. При этом: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93" type="#_x0000_t75" style="width:33.75pt;height:18pt">
                  <v:imagedata r:id="rId396" o:title=""/>
                </v:shape>
              </w:pict>
            </w:r>
            <w:r>
              <w:rPr>
                <w:rFonts w:ascii="Calibri" w:hAnsi="Calibri" w:cs="Calibri"/>
              </w:rPr>
              <w:t>, если все работы по переходу к единой геоцентрической открытой системе координат на территории субъекта Российской Федерации завершены;</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194" type="#_x0000_t75" style="width:34.5pt;height:18pt">
                  <v:imagedata r:id="rId397" o:title=""/>
                </v:shape>
              </w:pict>
            </w:r>
            <w:r>
              <w:rPr>
                <w:rFonts w:ascii="Calibri" w:hAnsi="Calibri" w:cs="Calibri"/>
              </w:rPr>
              <w:t>, если в субъекте Российской Федерации работы по переходу к единой геоцентрической открытой системе координат не завершены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Переход к единой геоцентрической открытой системе координат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9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952"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520"/>
        <w:gridCol w:w="1744"/>
        <w:gridCol w:w="2296"/>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2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Параметр, определяющий состояние работ по переходу к единой геоцентрической открытой системе координат ведения государственного кадастра недвижимости, </w:t>
            </w:r>
            <w:r>
              <w:rPr>
                <w:rFonts w:ascii="Calibri" w:hAnsi="Calibri" w:cs="Calibri"/>
              </w:rPr>
              <w:lastRenderedPageBreak/>
              <w:t>в том числе завершение пересчета всех пространственных данных государственного кадастра недвижимости</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Ni</w:t>
            </w:r>
          </w:p>
        </w:tc>
        <w:tc>
          <w:tcPr>
            <w:tcW w:w="2296"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способ основного масства;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62"/>
        <w:gridCol w:w="5351"/>
      </w:tblGrid>
      <w:tr w:rsidR="00C65754">
        <w:tblPrEx>
          <w:tblCellMar>
            <w:top w:w="0" w:type="dxa"/>
            <w:bottom w:w="0" w:type="dxa"/>
          </w:tblCellMar>
        </w:tblPrEx>
        <w:trPr>
          <w:tblCellSpacing w:w="5" w:type="nil"/>
        </w:trPr>
        <w:tc>
          <w:tcPr>
            <w:tcW w:w="61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616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35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841"/>
        <w:gridCol w:w="7030"/>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площади земельных участков,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долю площади земельных участков, относящихся к собственности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(за исключением земель лесного и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w:t>
            </w:r>
            <w:r>
              <w:rPr>
                <w:rFonts w:ascii="Calibri" w:hAnsi="Calibri" w:cs="Calibri"/>
              </w:rPr>
              <w:lastRenderedPageBreak/>
              <w:t>Федерации, в общей площади земельных участков,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долю площади земельных участков, относящихся к собственности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 исключением земель лесного и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включенных в государственный кадастр недвижимости,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95" type="#_x0000_t75" style="width:116.25pt;height:36pt">
                  <v:imagedata r:id="rId398"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96" type="#_x0000_t75" style="width:23.25pt;height:18.75pt">
                  <v:imagedata r:id="rId399" o:title=""/>
                </v:shape>
              </w:pict>
            </w:r>
            <w:r>
              <w:rPr>
                <w:rFonts w:ascii="Calibri" w:hAnsi="Calibri" w:cs="Calibri"/>
              </w:rPr>
              <w:t xml:space="preserve"> - площадь земельных участков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(гектаров),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197" type="#_x0000_t75" style="width:30pt;height:18.75pt">
                  <v:imagedata r:id="rId400" o:title=""/>
                </v:shape>
              </w:pict>
            </w:r>
            <w:r>
              <w:rPr>
                <w:rFonts w:ascii="Calibri" w:hAnsi="Calibri" w:cs="Calibri"/>
              </w:rPr>
              <w:t xml:space="preserve"> - общая площадь земельных участков (гектаров),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относящихся к собственности Российской Федерации (за исключением земель лесного и водного фондов, </w:t>
            </w:r>
            <w:r>
              <w:rPr>
                <w:rFonts w:ascii="Calibri" w:hAnsi="Calibri" w:cs="Calibri"/>
              </w:rPr>
              <w:lastRenderedPageBreak/>
              <w:t>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3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4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30"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632"/>
        <w:gridCol w:w="1744"/>
        <w:gridCol w:w="2380"/>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3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380"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3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(гектаров),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и учтенных в государственном </w:t>
            </w:r>
            <w:r>
              <w:rPr>
                <w:rFonts w:ascii="Calibri" w:hAnsi="Calibri" w:cs="Calibri"/>
              </w:rPr>
              <w:lastRenderedPageBreak/>
              <w:t>кадастре недвижимости с границами, соответствующими требованиям законодательства Российской Федерации</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98" type="#_x0000_t75" style="width:23.25pt;height:18.75pt">
                  <v:imagedata r:id="rId399" o:title=""/>
                </v:shape>
              </w:pict>
            </w:r>
          </w:p>
        </w:tc>
        <w:tc>
          <w:tcPr>
            <w:tcW w:w="2380"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Федеральное агентство по управлению государственным имуществом</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63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Общая площадь земельных участков (гектаров), относящихся к собственности Российской Федерации (за исключением земель лесного и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30pt;height:18.75pt">
                  <v:imagedata r:id="rId400" o:title=""/>
                </v:shape>
              </w:pict>
            </w:r>
          </w:p>
        </w:tc>
        <w:tc>
          <w:tcPr>
            <w:tcW w:w="2380"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Федеральное агентство по управлению государственным имуществом</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6"/>
        <w:gridCol w:w="6404"/>
      </w:tblGrid>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Лещенко Надежда Сергеевна, начальник Управления методического обеспечения и анализа в сфере регистрации прав и кадастрового учета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тел.: 8 (495) 531-08-72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851"/>
        <w:gridCol w:w="7020"/>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долю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долю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00" type="#_x0000_t75" style="width:108.75pt;height:36pt">
                  <v:imagedata r:id="rId401"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201" type="#_x0000_t75" style="width:21.75pt;height:18.75pt">
                  <v:imagedata r:id="rId402" o:title=""/>
                </v:shape>
              </w:pict>
            </w:r>
            <w:r>
              <w:rPr>
                <w:rFonts w:ascii="Calibri" w:hAnsi="Calibri" w:cs="Calibri"/>
              </w:rPr>
              <w:t xml:space="preserve"> - количество земельных участков,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учтенных в государственном кадастре недвижимости, с границами, соответствующими требованиям законодательства Российской Федерации;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02" type="#_x0000_t75" style="width:27.75pt;height:18pt">
                  <v:imagedata r:id="rId403" o:title=""/>
                </v:shape>
              </w:pict>
            </w:r>
            <w:r>
              <w:rPr>
                <w:rFonts w:ascii="Calibri" w:hAnsi="Calibri" w:cs="Calibri"/>
              </w:rPr>
              <w:t xml:space="preserve"> - общее количество земельных</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участков, учтенных в государственном кадастре недвижимости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земельные участки, учтенные в государственном кадастре недвижимости с границами, соответствующими требованиям законодательства Российской Федерации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2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85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20"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632"/>
        <w:gridCol w:w="1744"/>
        <w:gridCol w:w="2296"/>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3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32"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3" type="#_x0000_t75" style="width:21.75pt;height:18.75pt">
                  <v:imagedata r:id="rId402" o:title=""/>
                </v:shape>
              </w:pic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32"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земельных участков, учтенных в государственном кадастре недвижимости</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27.75pt;height:18pt">
                  <v:imagedata r:id="rId403" o:title=""/>
                </v:shape>
              </w:pic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97"/>
        <w:gridCol w:w="5623"/>
      </w:tblGrid>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И.о.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526-76-52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852"/>
        <w:gridCol w:w="7019"/>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услуг, предоставляемых Росреестром через информационно-телекоммуникационную сеть "Интернет" к общему количеству услуг, предоставляемых Росреестром</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услуг, оказываемых через информационно-телекоммуникационную сеть "Интернет"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05" type="#_x0000_t75" style="width:108.75pt;height:34.5pt">
                  <v:imagedata r:id="rId404"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06" type="#_x0000_t75" style="width:16.5pt;height:18pt">
                  <v:imagedata r:id="rId405" o:title=""/>
                </v:shape>
              </w:pict>
            </w:r>
            <w:r>
              <w:rPr>
                <w:rFonts w:ascii="Calibri" w:hAnsi="Calibri" w:cs="Calibri"/>
              </w:rPr>
              <w:t xml:space="preserve"> - 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07" type="#_x0000_t75" style="width:27.75pt;height:18pt">
                  <v:imagedata r:id="rId406" o:title=""/>
                </v:shape>
              </w:pict>
            </w:r>
            <w:r>
              <w:rPr>
                <w:rFonts w:ascii="Calibri" w:hAnsi="Calibri" w:cs="Calibri"/>
              </w:rPr>
              <w:t xml:space="preserve"> - количество услуг по государственной регистрации прав и кадастровому учету, оказываемых через информационно-телекоммуникационную сеть "Интернет";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208" type="#_x0000_t75" style="width:29.25pt;height:18.75pt">
                  <v:imagedata r:id="rId407" o:title=""/>
                </v:shape>
              </w:pict>
            </w:r>
            <w:r>
              <w:rPr>
                <w:rFonts w:ascii="Calibri" w:hAnsi="Calibri" w:cs="Calibri"/>
              </w:rPr>
              <w:t xml:space="preserve"> - общее количество услуг по государственной регистрации прав и кадастровому учету</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Услуги Росреестра, предоставляемые через информационно-телекоммуникационную сеть "Интернет"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характеристики </w:t>
            </w:r>
            <w:r>
              <w:rPr>
                <w:rFonts w:ascii="Calibri" w:hAnsi="Calibri" w:cs="Calibri"/>
              </w:rPr>
              <w:lastRenderedPageBreak/>
              <w:t>показателя &lt;3&gt;</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1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5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19"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3315"/>
        <w:gridCol w:w="1744"/>
        <w:gridCol w:w="2296"/>
        <w:gridCol w:w="1849"/>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15"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1849"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15"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услуг по государственной регистрации прав и кадастровому учету, оказываемых через информационно-телекоммуникационную сеть "Интернет"</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27.75pt;height:18pt">
                  <v:imagedata r:id="rId408" o:title=""/>
                </v:shape>
              </w:pic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1849"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15"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услуг по государственной регистрации прав и кадастровому учету</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0" type="#_x0000_t75" style="width:29.25pt;height:18.75pt">
                  <v:imagedata r:id="rId409" o:title=""/>
                </v:shape>
              </w:pic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1849"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97"/>
        <w:gridCol w:w="5623"/>
      </w:tblGrid>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559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62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И.о.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526-76-52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876"/>
        <w:gridCol w:w="6995"/>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Доля лиц, положительно оценивающих качество работы регистрационных органов</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заявителей, обратившихся за предоставлением государственных услуг в регистрационные органы и оценившие по итогам получения государственной услуги положительно к общему количеству заявителей, обратившихся в регистрационные органы и оценивших качество предоставления государственных услуг</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доли лиц, положительно оценивающих качество работы регистрационных органов,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11" type="#_x0000_t75" style="width:108.75pt;height:34.5pt">
                  <v:imagedata r:id="rId410"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12" type="#_x0000_t75" style="width:18pt;height:18pt">
                  <v:imagedata r:id="rId411" o:title=""/>
                </v:shape>
              </w:pict>
            </w:r>
            <w:r>
              <w:rPr>
                <w:rFonts w:ascii="Calibri" w:hAnsi="Calibri" w:cs="Calibri"/>
              </w:rPr>
              <w:t xml:space="preserve"> - доля лиц, положительно оценивающих качество работы регистрационных органов;</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13" type="#_x0000_t75" style="width:18pt;height:18pt">
                  <v:imagedata r:id="rId412" o:title=""/>
                </v:shape>
              </w:pict>
            </w:r>
            <w:r>
              <w:rPr>
                <w:rFonts w:ascii="Calibri" w:hAnsi="Calibri" w:cs="Calibri"/>
              </w:rPr>
              <w:t xml:space="preserve"> - количество человек, которые ответили на вопрос: "Удовлетворены ли вы качеством предоставления услуг регистрационными органами?", - положительно;</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4"/>
              </w:rPr>
              <w:pict>
                <v:shape id="_x0000_i1214" type="#_x0000_t75" style="width:29.25pt;height:18.75pt">
                  <v:imagedata r:id="rId413" o:title=""/>
                </v:shape>
              </w:pict>
            </w:r>
            <w:r>
              <w:rPr>
                <w:rFonts w:ascii="Calibri" w:hAnsi="Calibri" w:cs="Calibri"/>
              </w:rPr>
              <w:t xml:space="preserve"> - общее количество опрошенных заявителей при проведении мониторинга</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лиц услугами, предоставляемыми регистрационными органами</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7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699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Данные для расчета показателя используется ведомственная статистика, формируемая на основании данных мониторинга</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614"/>
        <w:gridCol w:w="1744"/>
        <w:gridCol w:w="2296"/>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1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96"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14" w:type="dxa"/>
            <w:tcBorders>
              <w:top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Количество человек, которые ответили на вопрос: "Удовлетворены ли вы качеством предоставления услуг регистрационными органами?", - положительно</w:t>
            </w:r>
          </w:p>
        </w:tc>
        <w:tc>
          <w:tcPr>
            <w:tcW w:w="174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5" type="#_x0000_t75" style="width:18pt;height:18pt">
                  <v:imagedata r:id="rId411" o:title=""/>
                </v:shape>
              </w:pict>
            </w:r>
          </w:p>
        </w:tc>
        <w:tc>
          <w:tcPr>
            <w:tcW w:w="2296"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754">
        <w:tblPrEx>
          <w:tblCellMar>
            <w:top w:w="0" w:type="dxa"/>
            <w:bottom w:w="0" w:type="dxa"/>
          </w:tblCellMar>
        </w:tblPrEx>
        <w:trPr>
          <w:tblCellSpacing w:w="5" w:type="nil"/>
        </w:trPr>
        <w:tc>
          <w:tcPr>
            <w:tcW w:w="5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14" w:type="dxa"/>
            <w:tcBorders>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опрошенных заявителей при проведении мониторинга</w:t>
            </w:r>
          </w:p>
        </w:tc>
        <w:tc>
          <w:tcPr>
            <w:tcW w:w="174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29.25pt;height:18.75pt">
                  <v:imagedata r:id="rId413" o:title=""/>
                </v:shape>
              </w:pict>
            </w:r>
          </w:p>
        </w:tc>
        <w:tc>
          <w:tcPr>
            <w:tcW w:w="2296"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служба государственной регистрации, кадастра и картографии</w:t>
            </w:r>
          </w:p>
        </w:tc>
        <w:tc>
          <w:tcPr>
            <w:tcW w:w="2092"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домашние хозяйства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153"/>
        <w:gridCol w:w="5351"/>
      </w:tblGrid>
      <w:tr w:rsidR="00C65754">
        <w:tblPrEx>
          <w:tblCellMar>
            <w:top w:w="0" w:type="dxa"/>
            <w:bottom w:w="0" w:type="dxa"/>
          </w:tblCellMar>
        </w:tblPrEx>
        <w:trPr>
          <w:tblCellSpacing w:w="5" w:type="nil"/>
        </w:trPr>
        <w:tc>
          <w:tcPr>
            <w:tcW w:w="8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5351"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налоговая служба</w:t>
            </w:r>
          </w:p>
        </w:tc>
      </w:tr>
      <w:tr w:rsidR="00C65754">
        <w:tblPrEx>
          <w:tblCellMar>
            <w:top w:w="0" w:type="dxa"/>
            <w:bottom w:w="0" w:type="dxa"/>
          </w:tblCellMar>
        </w:tblPrEx>
        <w:trPr>
          <w:tblCellSpacing w:w="5" w:type="nil"/>
        </w:trPr>
        <w:tc>
          <w:tcPr>
            <w:tcW w:w="815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535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
        <w:gridCol w:w="3402"/>
        <w:gridCol w:w="7677"/>
      </w:tblGrid>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Рост совокупных поступлений в консолидированный бюджет, получаемых от сбора земельного и имущественного налогов за отчетный период (год реализации Программы)</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Процент</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как отношение количества заявителей, обратившихся за предоставлением государственных услуг в регистрационные органы и оценившие по итогам получения государственной услуги положительно к общему количеству заявителей, обратившихся в регистрационные органы и оценивших качество предоставления государственных услуг</w:t>
            </w:r>
          </w:p>
        </w:tc>
      </w:tr>
      <w:tr w:rsidR="00C65754">
        <w:tblPrEx>
          <w:tblCellMar>
            <w:top w:w="0" w:type="dxa"/>
            <w:bottom w:w="0" w:type="dxa"/>
          </w:tblCellMar>
        </w:tblPrEx>
        <w:trPr>
          <w:tblCellSpacing w:w="5" w:type="nil"/>
        </w:trPr>
        <w:tc>
          <w:tcPr>
            <w:tcW w:w="536" w:type="dxa"/>
            <w:vMerge w:val="restart"/>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02" w:type="dxa"/>
            <w:vMerge w:val="restart"/>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рост совокупных поступлений в консолидированный бюджет, получаемых от сбора земельного и имущественного налогов за отчетный период (год реализации Программы) (далее - совокупные поступления), определяется по формуле:</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87.75pt;height:18.75pt">
                  <v:imagedata r:id="rId414" o:title=""/>
                </v:shape>
              </w:pict>
            </w:r>
            <w:r>
              <w:rPr>
                <w:rFonts w:ascii="Calibri" w:hAnsi="Calibri" w:cs="Calibri"/>
              </w:rPr>
              <w:t>,</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где:</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218" type="#_x0000_t75" style="width:27.75pt;height:18pt">
                  <v:imagedata r:id="rId415" o:title=""/>
                </v:shape>
              </w:pict>
            </w:r>
            <w:r>
              <w:rPr>
                <w:rFonts w:ascii="Calibri" w:hAnsi="Calibri" w:cs="Calibri"/>
              </w:rPr>
              <w:t xml:space="preserve"> - совокупные поступления в 2012 году, составившие 694 млрд.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pict>
                <v:shape id="_x0000_i1219" type="#_x0000_t75" style="width:21.75pt;height:18.75pt">
                  <v:imagedata r:id="rId416" o:title=""/>
                </v:shape>
              </w:pict>
            </w:r>
            <w:r>
              <w:rPr>
                <w:rFonts w:ascii="Calibri" w:hAnsi="Calibri" w:cs="Calibri"/>
              </w:rPr>
              <w:t xml:space="preserve"> - коэффициент, принимающий следующие значения:</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1,02 - в 2014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1,07 - в 2015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1,15 - в 2016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1,24 - в 2017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1,36 - в 2018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1,51 - в 2019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За точку отсчета принят 2012 год, в котором совокупные поступления составили 694 млрд. рублей.</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Увеличение ежегодных совокупных поступлений запланировано с 2014 года, при этом:</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в 2014 году - на 2 процента (по отношению к базовому 2012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2015 году - на 5 процентов (по отношению к 2014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2016 году - на 7 процентов (по отношению к 2015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2017 году - на 8 процентов (по отношению к 2016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2018 году - на 10 процентов (по отношению к 2017 году);</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 2019 году - на 11 процентов (по отношению к 2018 году).</w:t>
            </w:r>
          </w:p>
        </w:tc>
      </w:tr>
      <w:tr w:rsidR="00C65754">
        <w:tblPrEx>
          <w:tblCellMar>
            <w:top w:w="0" w:type="dxa"/>
            <w:bottom w:w="0" w:type="dxa"/>
          </w:tblCellMar>
        </w:tblPrEx>
        <w:trPr>
          <w:tblCellSpacing w:w="5" w:type="nil"/>
        </w:trPr>
        <w:tc>
          <w:tcPr>
            <w:tcW w:w="53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402"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11. Совокупные поступления, получаемые за весь период реализации Программы, определяются по формуле:</w:t>
            </w:r>
          </w:p>
        </w:tc>
      </w:tr>
      <w:tr w:rsidR="00C65754">
        <w:tblPrEx>
          <w:tblCellMar>
            <w:top w:w="0" w:type="dxa"/>
            <w:bottom w:w="0" w:type="dxa"/>
          </w:tblCellMar>
        </w:tblPrEx>
        <w:trPr>
          <w:tblCellSpacing w:w="5" w:type="nil"/>
        </w:trPr>
        <w:tc>
          <w:tcPr>
            <w:tcW w:w="53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402"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220" type="#_x0000_t75" style="width:273.75pt;height:18pt">
                  <v:imagedata r:id="rId417" o:title=""/>
                </v:shape>
              </w:pict>
            </w:r>
            <w:r>
              <w:rPr>
                <w:rFonts w:ascii="Calibri" w:hAnsi="Calibri" w:cs="Calibri"/>
              </w:rPr>
              <w:t>,</w:t>
            </w:r>
          </w:p>
        </w:tc>
      </w:tr>
      <w:tr w:rsidR="00C65754">
        <w:tblPrEx>
          <w:tblCellMar>
            <w:top w:w="0" w:type="dxa"/>
            <w:bottom w:w="0" w:type="dxa"/>
          </w:tblCellMar>
        </w:tblPrEx>
        <w:trPr>
          <w:tblCellSpacing w:w="5" w:type="nil"/>
        </w:trPr>
        <w:tc>
          <w:tcPr>
            <w:tcW w:w="53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402"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где </w:t>
            </w:r>
            <w:r>
              <w:rPr>
                <w:rFonts w:ascii="Calibri" w:hAnsi="Calibri" w:cs="Calibri"/>
                <w:position w:val="-12"/>
              </w:rPr>
              <w:pict>
                <v:shape id="_x0000_i1221" type="#_x0000_t75" style="width:27.75pt;height:18pt">
                  <v:imagedata r:id="rId418" o:title=""/>
                </v:shape>
              </w:pict>
            </w:r>
            <w:r>
              <w:rPr>
                <w:rFonts w:ascii="Calibri" w:hAnsi="Calibri" w:cs="Calibri"/>
              </w:rPr>
              <w:t xml:space="preserve">, </w:t>
            </w:r>
            <w:r>
              <w:rPr>
                <w:rFonts w:ascii="Calibri" w:hAnsi="Calibri" w:cs="Calibri"/>
                <w:position w:val="-12"/>
              </w:rPr>
              <w:pict>
                <v:shape id="_x0000_i1222" type="#_x0000_t75" style="width:26.25pt;height:18pt">
                  <v:imagedata r:id="rId419" o:title=""/>
                </v:shape>
              </w:pict>
            </w:r>
            <w:r>
              <w:rPr>
                <w:rFonts w:ascii="Calibri" w:hAnsi="Calibri" w:cs="Calibri"/>
              </w:rPr>
              <w:t xml:space="preserve">, </w:t>
            </w:r>
            <w:r>
              <w:rPr>
                <w:rFonts w:ascii="Calibri" w:hAnsi="Calibri" w:cs="Calibri"/>
                <w:position w:val="-12"/>
              </w:rPr>
              <w:pict>
                <v:shape id="_x0000_i1223" type="#_x0000_t75" style="width:27.75pt;height:18pt">
                  <v:imagedata r:id="rId420" o:title=""/>
                </v:shape>
              </w:pict>
            </w:r>
            <w:r>
              <w:rPr>
                <w:rFonts w:ascii="Calibri" w:hAnsi="Calibri" w:cs="Calibri"/>
              </w:rPr>
              <w:t xml:space="preserve">, </w:t>
            </w:r>
            <w:r>
              <w:rPr>
                <w:rFonts w:ascii="Calibri" w:hAnsi="Calibri" w:cs="Calibri"/>
                <w:position w:val="-12"/>
              </w:rPr>
              <w:pict>
                <v:shape id="_x0000_i1224" type="#_x0000_t75" style="width:27.75pt;height:18pt">
                  <v:imagedata r:id="rId421" o:title=""/>
                </v:shape>
              </w:pict>
            </w:r>
            <w:r>
              <w:rPr>
                <w:rFonts w:ascii="Calibri" w:hAnsi="Calibri" w:cs="Calibri"/>
              </w:rPr>
              <w:t xml:space="preserve">, </w:t>
            </w:r>
            <w:r>
              <w:rPr>
                <w:rFonts w:ascii="Calibri" w:hAnsi="Calibri" w:cs="Calibri"/>
                <w:position w:val="-12"/>
              </w:rPr>
              <w:pict>
                <v:shape id="_x0000_i1225" type="#_x0000_t75" style="width:27.75pt;height:18pt">
                  <v:imagedata r:id="rId422" o:title=""/>
                </v:shape>
              </w:pict>
            </w:r>
            <w:r>
              <w:rPr>
                <w:rFonts w:ascii="Calibri" w:hAnsi="Calibri" w:cs="Calibri"/>
              </w:rPr>
              <w:t xml:space="preserve"> - поступления в соответствующий год.</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12. Совокупные поступления к 2019 году, получаемые в результате реализации мероприятий Программы, увеличиваются на повышающий коэффициент, который определяется по формуле:</w:t>
            </w:r>
          </w:p>
        </w:tc>
      </w:tr>
      <w:tr w:rsidR="00C65754">
        <w:tblPrEx>
          <w:tblCellMar>
            <w:top w:w="0" w:type="dxa"/>
            <w:bottom w:w="0" w:type="dxa"/>
          </w:tblCellMar>
        </w:tblPrEx>
        <w:trPr>
          <w:tblCellSpacing w:w="5" w:type="nil"/>
        </w:trPr>
        <w:tc>
          <w:tcPr>
            <w:tcW w:w="536"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3402" w:type="dxa"/>
            <w:vMerge/>
          </w:tcPr>
          <w:p w:rsidR="00C65754" w:rsidRDefault="00C65754">
            <w:pPr>
              <w:widowControl w:val="0"/>
              <w:autoSpaceDE w:val="0"/>
              <w:autoSpaceDN w:val="0"/>
              <w:adjustRightInd w:val="0"/>
              <w:spacing w:after="0" w:line="240" w:lineRule="auto"/>
              <w:jc w:val="both"/>
              <w:rPr>
                <w:rFonts w:ascii="Calibri" w:hAnsi="Calibri" w:cs="Calibri"/>
              </w:rPr>
            </w:pPr>
          </w:p>
        </w:tc>
        <w:tc>
          <w:tcPr>
            <w:tcW w:w="7677"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23.75pt;height:18pt">
                  <v:imagedata r:id="rId423" o:title=""/>
                </v:shape>
              </w:pic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совокупные поступления в консолидированный бюджет, получаемых от сбора земельного имущественного налогов</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677"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0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677"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764"/>
        <w:gridCol w:w="1744"/>
        <w:gridCol w:w="2254"/>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6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Буквенное обозначение в формуле </w:t>
            </w:r>
            <w:r>
              <w:rPr>
                <w:rFonts w:ascii="Calibri" w:hAnsi="Calibri" w:cs="Calibri"/>
              </w:rPr>
              <w:lastRenderedPageBreak/>
              <w:t>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Орган исполнительной власти (организация) </w:t>
            </w:r>
            <w:r>
              <w:rPr>
                <w:rFonts w:ascii="Calibri" w:hAnsi="Calibri" w:cs="Calibri"/>
              </w:rPr>
              <w:lastRenderedPageBreak/>
              <w:t>-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Метод сбора информации, индекс формы </w:t>
            </w:r>
            <w:r>
              <w:rPr>
                <w:rFonts w:ascii="Calibri" w:hAnsi="Calibri" w:cs="Calibri"/>
              </w:rPr>
              <w:lastRenderedPageBreak/>
              <w:t>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76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Коэффициент роста совокупных поступлений в консолидированный бюджет, получаемых от сбора земельного и имущественного налогов</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7" type="#_x0000_t75" style="width:27.75pt;height:18.75pt">
                  <v:imagedata r:id="rId424" o:title=""/>
                </v:shape>
              </w:pic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налоговая служба</w:t>
            </w:r>
          </w:p>
        </w:tc>
        <w:tc>
          <w:tcPr>
            <w:tcW w:w="209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6"/>
        <w:gridCol w:w="6404"/>
      </w:tblGrid>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Лещенко Надежда Сергеевна, начальник Управления методического обеспечения и анализа в сфере регистрации прав и кадастрового учета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531-08-72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9"/>
        <w:gridCol w:w="3843"/>
        <w:gridCol w:w="7028"/>
      </w:tblGrid>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государственной регистрации прав</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Дней</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количеством дней на осуществление регистрации собственности с момента подачи заявления</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Средний фактический срок предоставления государственной услуги по государственной регистрации прав (</w:t>
            </w:r>
            <w:r>
              <w:rPr>
                <w:rFonts w:ascii="Calibri" w:hAnsi="Calibri" w:cs="Calibri"/>
                <w:position w:val="-12"/>
              </w:rPr>
              <w:pict>
                <v:shape id="_x0000_i1228" type="#_x0000_t75" style="width:15.75pt;height:18pt">
                  <v:imagedata r:id="rId425" o:title=""/>
                </v:shape>
              </w:pict>
            </w:r>
            <w:r>
              <w:rPr>
                <w:rFonts w:ascii="Calibri" w:hAnsi="Calibri" w:cs="Calibri"/>
              </w:rPr>
              <w:t>) определяется на основе данных мониторинга.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 показатель N 32ОП Положения о мониторинге качества и доступности государственных услуг Росреестра, утвержденного приказом Росреестра от 08.09.2011 N П/338 "Об организации мониторинга качества и доступности государственных услуг, </w:t>
            </w:r>
            <w:r>
              <w:rPr>
                <w:rFonts w:ascii="Calibri" w:hAnsi="Calibri" w:cs="Calibri"/>
              </w:rPr>
              <w:lastRenderedPageBreak/>
              <w:t>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 (вместе с Положением о мониторинге качества и доступности государственных услуг Росреестра)</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государственной регистрации прав</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39"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28"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6"/>
        <w:gridCol w:w="6404"/>
      </w:tblGrid>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816"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404"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Лещенко Надежда Сергеевна, начальник Управления методического обеспечения и анализа в сфере регистрации прав и кадастрового учета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531-08-72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6"/>
        <w:gridCol w:w="3843"/>
        <w:gridCol w:w="7028"/>
      </w:tblGrid>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кадастрового учета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Дней</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количеством дней на осуществление кадастрового учета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Средний фактический срок предоставления государственной услуги по государственному кадастровому учету (</w:t>
            </w:r>
            <w:r>
              <w:rPr>
                <w:rFonts w:ascii="Calibri" w:hAnsi="Calibri" w:cs="Calibri"/>
              </w:rPr>
              <w:pict>
                <v:shape id="_x0000_i1229" type="#_x0000_t75" style="width:16.5pt;height:18pt">
                  <v:imagedata r:id="rId426" o:title=""/>
                </v:shape>
              </w:pict>
            </w:r>
            <w:r>
              <w:rPr>
                <w:rFonts w:ascii="Calibri" w:hAnsi="Calibri" w:cs="Calibri"/>
              </w:rPr>
              <w:t>) определяется на основе данных мониторинга.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Источник - показатель N 71ОП Положения о мониторинге качества и доступности государственных услуг Росреестра, утвержденного приказом Росреестра от 08.09.2011 N П/338 "Об организации мониторинга качества и доступности государственных услуг, предоставляемых территориальными органами Росреестра и подведомственными федеральными бюджетными учреждениями "Кадастровая палата" по субъектам Российской Федерации" (вместе с Положением о мониторинге качества и доступности государственных услуг Росреестра)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кадастрового учета</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2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466"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43"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28"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2"/>
        <w:gridCol w:w="6278"/>
      </w:tblGrid>
      <w:tr w:rsidR="00C65754">
        <w:tblPrEx>
          <w:tblCellMar>
            <w:top w:w="0" w:type="dxa"/>
            <w:bottom w:w="0" w:type="dxa"/>
          </w:tblCellMar>
        </w:tblPrEx>
        <w:trPr>
          <w:tblCellSpacing w:w="5" w:type="nil"/>
        </w:trPr>
        <w:tc>
          <w:tcPr>
            <w:tcW w:w="494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Субъект официального статистического учета, ответственный за сбор и представление информации</w:t>
            </w:r>
          </w:p>
        </w:tc>
        <w:tc>
          <w:tcPr>
            <w:tcW w:w="627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регистрации, кадастра и картографии</w:t>
            </w:r>
          </w:p>
        </w:tc>
      </w:tr>
      <w:tr w:rsidR="00C65754">
        <w:tblPrEx>
          <w:tblCellMar>
            <w:top w:w="0" w:type="dxa"/>
            <w:bottom w:w="0" w:type="dxa"/>
          </w:tblCellMar>
        </w:tblPrEx>
        <w:trPr>
          <w:tblCellSpacing w:w="5" w:type="nil"/>
        </w:trPr>
        <w:tc>
          <w:tcPr>
            <w:tcW w:w="4942"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Исполнитель, ответственный за формирование показателя</w:t>
            </w:r>
          </w:p>
        </w:tc>
        <w:tc>
          <w:tcPr>
            <w:tcW w:w="6278"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Аверьянова Ольга Анатольевна, заместитель начальника Управления мониторинга и повышения качества государственных услуг Росреестра</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тел.: 8 (495) 526 76 52</w:t>
            </w:r>
          </w:p>
        </w:tc>
      </w:tr>
    </w:tbl>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5"/>
        <w:gridCol w:w="3810"/>
        <w:gridCol w:w="7061"/>
      </w:tblGrid>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показателя</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заявителями в очереди</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Единица измерения</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минут</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Определение показателя &lt;1&gt;</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Определяется средним временем ожидания заявителями в очереди для получения государственных услуг Федеральной службы государственной регистрации, кадастра и картографии</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Алгоритм формирования показателя и методологические пояснения к показателю &lt;2&gt;</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Показатель, характеризующий время ожидания заявителями в очереди, отражающий совокупную эффективность реализации мероприятий (Т) соотносится со средним временем ожидания заявителями в очереди для получения государственных услуг Федеральной службы государственной регистрации, кадастра и картографии (</w:t>
            </w:r>
            <w:r>
              <w:rPr>
                <w:rFonts w:ascii="Calibri" w:hAnsi="Calibri" w:cs="Calibri"/>
                <w:position w:val="-12"/>
              </w:rPr>
              <w:pict>
                <v:shape id="_x0000_i1230" type="#_x0000_t75" style="width:24pt;height:18pt">
                  <v:imagedata r:id="rId427" o:title=""/>
                </v:shape>
              </w:pict>
            </w:r>
            <w:r>
              <w:rPr>
                <w:rFonts w:ascii="Calibri" w:hAnsi="Calibri" w:cs="Calibri"/>
              </w:rPr>
              <w:t>) следующим образом:</w:t>
            </w:r>
          </w:p>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1" type="#_x0000_t75" style="width:43.5pt;height:18pt">
                  <v:imagedata r:id="rId428" o:title=""/>
                </v:shape>
              </w:pic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Значение этого показателя рассчитывается как среднее значение следующих аналогичных показателей подсистемы мониторинга оказания государственных услуг Федеральной службы государственной регистрации, кадастра и картографии:</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 обращении граждан или организаций при получении государственной регистрации прав (минут);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граждан или организации при получении государственной услуги по предоставлению сведений о зарегистрированных правах на недвижимое имущество и сделках с ним (минут);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граждан или организации при получении государственной услуги по государственному кадастровому учету (минут);</w:t>
            </w:r>
          </w:p>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в очереди при обращении граждан или организаций при получении государственной услуги по предоставлению сведений, внесенных в государственный кадастр недвижимости (минут)</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Наблюдаемые характеристики показателя</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государственной регистрации прав и государственного кадастрового учета</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Временные характеристики показателя &lt;3&gt;</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Характеристика разреза наблюдения</w:t>
            </w:r>
          </w:p>
        </w:tc>
        <w:tc>
          <w:tcPr>
            <w:tcW w:w="7061"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Федеральный уровень</w:t>
            </w:r>
          </w:p>
        </w:tc>
      </w:tr>
      <w:tr w:rsidR="00C65754">
        <w:tblPrEx>
          <w:tblCellMar>
            <w:top w:w="0" w:type="dxa"/>
            <w:bottom w:w="0" w:type="dxa"/>
          </w:tblCellMar>
        </w:tblPrEx>
        <w:trPr>
          <w:tblCellSpacing w:w="5" w:type="nil"/>
        </w:trPr>
        <w:tc>
          <w:tcPr>
            <w:tcW w:w="505" w:type="dxa"/>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810" w:type="dxa"/>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характеристики, необходимые для описания показателя</w:t>
            </w:r>
          </w:p>
        </w:tc>
        <w:tc>
          <w:tcPr>
            <w:tcW w:w="7061" w:type="dxa"/>
          </w:tcPr>
          <w:p w:rsidR="00C65754" w:rsidRDefault="00C65754">
            <w:pPr>
              <w:widowControl w:val="0"/>
              <w:autoSpaceDE w:val="0"/>
              <w:autoSpaceDN w:val="0"/>
              <w:adjustRightInd w:val="0"/>
              <w:spacing w:after="0" w:line="240" w:lineRule="auto"/>
              <w:jc w:val="both"/>
              <w:rPr>
                <w:rFonts w:ascii="Calibri" w:hAnsi="Calibri" w:cs="Calibri"/>
              </w:rPr>
            </w:pP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Характеристика содержания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 описании формулы или алгоритма необходимо использовать буквенные обозначения базовых показателей. Если имеется утвержденная методика расчета показателя, то следует указать ее в приложении к паспорту показателя.</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периодичность и вид временной характеристики.</w:t>
      </w:r>
    </w:p>
    <w:p w:rsidR="00C65754" w:rsidRDefault="00C657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344"/>
        <w:gridCol w:w="1744"/>
        <w:gridCol w:w="2254"/>
        <w:gridCol w:w="2092"/>
        <w:gridCol w:w="2254"/>
        <w:gridCol w:w="1905"/>
      </w:tblGrid>
      <w:tr w:rsidR="00C65754">
        <w:tblPrEx>
          <w:tblCellMar>
            <w:top w:w="0" w:type="dxa"/>
            <w:bottom w:w="0" w:type="dxa"/>
          </w:tblCellMar>
        </w:tblPrEx>
        <w:trPr>
          <w:tblCellSpacing w:w="5" w:type="nil"/>
        </w:trPr>
        <w:tc>
          <w:tcPr>
            <w:tcW w:w="544" w:type="dxa"/>
            <w:tcBorders>
              <w:top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определение базовых показателей</w:t>
            </w:r>
          </w:p>
        </w:tc>
        <w:tc>
          <w:tcPr>
            <w:tcW w:w="174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Буквенное обозначение в формуле расчета</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(организация) - источник информации</w:t>
            </w:r>
          </w:p>
        </w:tc>
        <w:tc>
          <w:tcPr>
            <w:tcW w:w="2092"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Метод сбора информации, индекс формы отчетности &lt;1&gt;</w:t>
            </w:r>
          </w:p>
        </w:tc>
        <w:tc>
          <w:tcPr>
            <w:tcW w:w="2254" w:type="dxa"/>
            <w:tcBorders>
              <w:top w:val="single" w:sz="4" w:space="0" w:color="auto"/>
              <w:left w:val="single" w:sz="4" w:space="0" w:color="auto"/>
              <w:bottom w:val="single" w:sz="4" w:space="0" w:color="auto"/>
              <w:right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 единица наблюдения &lt;2&gt;</w:t>
            </w:r>
          </w:p>
        </w:tc>
        <w:tc>
          <w:tcPr>
            <w:tcW w:w="1905" w:type="dxa"/>
            <w:tcBorders>
              <w:top w:val="single" w:sz="4" w:space="0" w:color="auto"/>
              <w:left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Охват единиц совокупности &lt;3&gt;</w:t>
            </w:r>
          </w:p>
        </w:tc>
      </w:tr>
      <w:tr w:rsidR="00C65754">
        <w:tblPrEx>
          <w:tblCellMar>
            <w:top w:w="0" w:type="dxa"/>
            <w:bottom w:w="0" w:type="dxa"/>
          </w:tblCellMar>
        </w:tblPrEx>
        <w:trPr>
          <w:tblCellSpacing w:w="5" w:type="nil"/>
        </w:trPr>
        <w:tc>
          <w:tcPr>
            <w:tcW w:w="5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заявителей в очереди при получении государственных услуг Росреестра</w:t>
            </w:r>
          </w:p>
        </w:tc>
        <w:tc>
          <w:tcPr>
            <w:tcW w:w="174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2" type="#_x0000_t75" style="width:24pt;height:18pt">
                  <v:imagedata r:id="rId427" o:title=""/>
                </v:shape>
              </w:pic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налоговая служба</w:t>
            </w:r>
          </w:p>
        </w:tc>
        <w:tc>
          <w:tcPr>
            <w:tcW w:w="2092"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Периодическая отчетность</w:t>
            </w:r>
          </w:p>
        </w:tc>
        <w:tc>
          <w:tcPr>
            <w:tcW w:w="2254"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органы исполнительной власти - ответственные исполнители программ"</w:t>
            </w:r>
          </w:p>
        </w:tc>
        <w:tc>
          <w:tcPr>
            <w:tcW w:w="1905" w:type="dxa"/>
            <w:tcBorders>
              <w:top w:val="single" w:sz="4" w:space="0" w:color="auto"/>
              <w:bottom w:val="single" w:sz="4" w:space="0" w:color="auto"/>
            </w:tcBorders>
          </w:tcPr>
          <w:p w:rsidR="00C65754" w:rsidRDefault="00C6575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C65754" w:rsidRDefault="00C65754">
      <w:pPr>
        <w:widowControl w:val="0"/>
        <w:autoSpaceDE w:val="0"/>
        <w:autoSpaceDN w:val="0"/>
        <w:adjustRightInd w:val="0"/>
        <w:spacing w:after="0" w:line="240" w:lineRule="auto"/>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Указать предприятия (организации) различных секторов экономики, группы населения, домашних хозяйств и др.</w:t>
      </w:r>
    </w:p>
    <w:p w:rsidR="00C65754" w:rsidRDefault="00C657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1 - сплошное наблюдение; 2 - способ основного массива; 3 - выборочное наблюдение; 4 - монографическое наблюдение.</w:t>
      </w: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autoSpaceDE w:val="0"/>
        <w:autoSpaceDN w:val="0"/>
        <w:adjustRightInd w:val="0"/>
        <w:spacing w:after="0" w:line="240" w:lineRule="auto"/>
        <w:ind w:firstLine="540"/>
        <w:jc w:val="both"/>
        <w:rPr>
          <w:rFonts w:ascii="Calibri" w:hAnsi="Calibri" w:cs="Calibri"/>
        </w:rPr>
      </w:pPr>
    </w:p>
    <w:p w:rsidR="00C65754" w:rsidRDefault="00C657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17A0" w:rsidRDefault="00BB17A0"/>
    <w:sectPr w:rsidR="00BB17A0" w:rsidSect="00F9399E">
      <w:pgSz w:w="16838" w:h="11905"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54"/>
    <w:rsid w:val="00140C12"/>
    <w:rsid w:val="00357D9C"/>
    <w:rsid w:val="008C77ED"/>
    <w:rsid w:val="00BB17A0"/>
    <w:rsid w:val="00C65754"/>
    <w:rsid w:val="00F9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657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657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2F4E6DFCB05F3E11A1FACFEA3BFFBBDA726A472351D760F091B30D2Df7FDM" TargetMode="External"/><Relationship Id="rId299" Type="http://schemas.openxmlformats.org/officeDocument/2006/relationships/hyperlink" Target="consultantplus://offline/ref=780D9B4BAEF53FE3CFA18DAC280958504E7C5194BDB972D778ED3A4672g5F1M" TargetMode="External"/><Relationship Id="rId21" Type="http://schemas.openxmlformats.org/officeDocument/2006/relationships/hyperlink" Target="consultantplus://offline/ref=FD2F4E6DFCB05F3E11A1FACFEA3BFFBBDA736B452753D760F091B30D2D7DDAB50D880A82CEA21C05fDF4M" TargetMode="External"/><Relationship Id="rId63" Type="http://schemas.openxmlformats.org/officeDocument/2006/relationships/hyperlink" Target="consultantplus://offline/ref=FD2F4E6DFCB05F3E11A1FACFEA3BFFBBDA756C462050D760F091B30D2D7DDAB50D880A82CEA21C05fDF5M" TargetMode="External"/><Relationship Id="rId159" Type="http://schemas.openxmlformats.org/officeDocument/2006/relationships/hyperlink" Target="consultantplus://offline/ref=FD2F4E6DFCB05F3E11A1FACFEA3BFFBBDA73614E2156D760F091B30D2Df7FDM" TargetMode="External"/><Relationship Id="rId324" Type="http://schemas.openxmlformats.org/officeDocument/2006/relationships/image" Target="media/image13.wmf"/><Relationship Id="rId366" Type="http://schemas.openxmlformats.org/officeDocument/2006/relationships/image" Target="media/image55.wmf"/><Relationship Id="rId170" Type="http://schemas.openxmlformats.org/officeDocument/2006/relationships/hyperlink" Target="consultantplus://offline/ref=FD2F4E6DFCB05F3E11A1FACFEA3BFFBBDA7268472255D760F091B30D2Df7FDM" TargetMode="External"/><Relationship Id="rId226" Type="http://schemas.openxmlformats.org/officeDocument/2006/relationships/hyperlink" Target="consultantplus://offline/ref=FD2F4E6DFCB05F3E11A1FACFEA3BFFBBDA74694E2752D760F091B30D2D7DDAB50D880A82CEA21C0DfDF0M" TargetMode="External"/><Relationship Id="rId268" Type="http://schemas.openxmlformats.org/officeDocument/2006/relationships/hyperlink" Target="consultantplus://offline/ref=FD2F4E6DFCB05F3E11A1FACFEA3BFFBBDA746E4E2750D760F091B30D2Df7FDM" TargetMode="External"/><Relationship Id="rId32" Type="http://schemas.openxmlformats.org/officeDocument/2006/relationships/hyperlink" Target="consultantplus://offline/ref=FD2F4E6DFCB05F3E11A1FACFEA3BFFBBDA7261422550D760F091B30D2D7DDAB50D880A82CEA21C04fDF3M" TargetMode="External"/><Relationship Id="rId74" Type="http://schemas.openxmlformats.org/officeDocument/2006/relationships/hyperlink" Target="consultantplus://offline/ref=FD2F4E6DFCB05F3E11A1FACFEA3BFFBBDA776846245ED760F091B30D2Df7FDM" TargetMode="External"/><Relationship Id="rId128" Type="http://schemas.openxmlformats.org/officeDocument/2006/relationships/hyperlink" Target="consultantplus://offline/ref=FD2F4E6DFCB05F3E11A1FACFEA3BFFBBDA7260452755D760F091B30D2D7DDAB50D880A82CEA21504fDF0M" TargetMode="External"/><Relationship Id="rId335" Type="http://schemas.openxmlformats.org/officeDocument/2006/relationships/image" Target="media/image24.wmf"/><Relationship Id="rId377" Type="http://schemas.openxmlformats.org/officeDocument/2006/relationships/image" Target="media/image66.wmf"/><Relationship Id="rId5" Type="http://schemas.openxmlformats.org/officeDocument/2006/relationships/webSettings" Target="webSettings.xml"/><Relationship Id="rId181" Type="http://schemas.openxmlformats.org/officeDocument/2006/relationships/hyperlink" Target="consultantplus://offline/ref=FD2F4E6DFCB05F3E11A1FACFEA3BFFBBDA7460432451D760F091B30D2Df7FDM" TargetMode="External"/><Relationship Id="rId237" Type="http://schemas.openxmlformats.org/officeDocument/2006/relationships/hyperlink" Target="consultantplus://offline/ref=FD2F4E6DFCB05F3E11A1FACFEA3BFFBBDA72694F2550D760F091B30D2Df7FDM" TargetMode="External"/><Relationship Id="rId402" Type="http://schemas.openxmlformats.org/officeDocument/2006/relationships/image" Target="media/image91.wmf"/><Relationship Id="rId279" Type="http://schemas.openxmlformats.org/officeDocument/2006/relationships/hyperlink" Target="consultantplus://offline/ref=FD2F4E6DFCB05F3E11A1FACFEA3BFFBBDA736040235ED760F091B30D2Df7FDM" TargetMode="External"/><Relationship Id="rId43" Type="http://schemas.openxmlformats.org/officeDocument/2006/relationships/hyperlink" Target="consultantplus://offline/ref=FD2F4E6DFCB05F3E11A1FACFEA3BFFBBDA746F472153D760F091B30D2Df7FDM" TargetMode="External"/><Relationship Id="rId139" Type="http://schemas.openxmlformats.org/officeDocument/2006/relationships/hyperlink" Target="consultantplus://offline/ref=FD2F4E6DFCB05F3E11A1FACFEA3BFFBBDA746C472E53D760F091B30D2Df7FDM" TargetMode="External"/><Relationship Id="rId290" Type="http://schemas.openxmlformats.org/officeDocument/2006/relationships/image" Target="media/image10.wmf"/><Relationship Id="rId304" Type="http://schemas.openxmlformats.org/officeDocument/2006/relationships/hyperlink" Target="consultantplus://offline/ref=780D9B4BAEF53FE3CFA18DAC280958504E7D5195BFBF72D778ED3A467251ADD0591DE5B390759110g4F4M" TargetMode="External"/><Relationship Id="rId346" Type="http://schemas.openxmlformats.org/officeDocument/2006/relationships/image" Target="media/image35.wmf"/><Relationship Id="rId388" Type="http://schemas.openxmlformats.org/officeDocument/2006/relationships/image" Target="media/image77.wmf"/><Relationship Id="rId85" Type="http://schemas.openxmlformats.org/officeDocument/2006/relationships/hyperlink" Target="consultantplus://offline/ref=FD2F4E6DFCB05F3E11A1FACFEA3BFFBBDA7361442550D760F091B30D2Df7FDM" TargetMode="External"/><Relationship Id="rId150" Type="http://schemas.openxmlformats.org/officeDocument/2006/relationships/hyperlink" Target="consultantplus://offline/ref=FD2F4E6DFCB05F3E11A1FACFEA3BFFBBDA756C402553D760F091B30D2Df7FDM" TargetMode="External"/><Relationship Id="rId171" Type="http://schemas.openxmlformats.org/officeDocument/2006/relationships/hyperlink" Target="consultantplus://offline/ref=FD2F4E6DFCB05F3E11A1FACFEA3BFFBBD2716E47275D8A6AF8C8BF0F2A7285A20AC10683CEA21Cf0FCM" TargetMode="External"/><Relationship Id="rId192" Type="http://schemas.openxmlformats.org/officeDocument/2006/relationships/hyperlink" Target="consultantplus://offline/ref=FD2F4E6DFCB05F3E11A1FACFEA3BFFBBDA736A4E2E51D760F091B30D2Df7FDM" TargetMode="External"/><Relationship Id="rId206" Type="http://schemas.openxmlformats.org/officeDocument/2006/relationships/hyperlink" Target="consultantplus://offline/ref=FD2F4E6DFCB05F3E11A1FACFEA3BFFBBDA7568432255D760F091B30D2D7DDAB50D880A82CEA21C04fDF3M" TargetMode="External"/><Relationship Id="rId227" Type="http://schemas.openxmlformats.org/officeDocument/2006/relationships/hyperlink" Target="consultantplus://offline/ref=FD2F4E6DFCB05F3E11A1FACFEA3BFFBBDA736F472453D760F091B30D2D7DDAB50D880Af8F4M" TargetMode="External"/><Relationship Id="rId413" Type="http://schemas.openxmlformats.org/officeDocument/2006/relationships/image" Target="media/image102.wmf"/><Relationship Id="rId248" Type="http://schemas.openxmlformats.org/officeDocument/2006/relationships/hyperlink" Target="consultantplus://offline/ref=FD2F4E6DFCB05F3E11A1FACFEA3BFFBBDA756E46275ED760F091B30D2Df7FDM" TargetMode="External"/><Relationship Id="rId269" Type="http://schemas.openxmlformats.org/officeDocument/2006/relationships/hyperlink" Target="consultantplus://offline/ref=FD2F4E6DFCB05F3E11A1FACFEA3BFFBBDA746E4E2750D760F091B30D2Df7FDM" TargetMode="External"/><Relationship Id="rId12" Type="http://schemas.openxmlformats.org/officeDocument/2006/relationships/hyperlink" Target="consultantplus://offline/ref=FD2F4E6DFCB05F3E11A1FACFEA3BFFBBDA736B432252D760F091B30D2D7DDAB50D880A82CEA21C04fDFDM" TargetMode="External"/><Relationship Id="rId33" Type="http://schemas.openxmlformats.org/officeDocument/2006/relationships/hyperlink" Target="consultantplus://offline/ref=FD2F4E6DFCB05F3E11A1FACFEA3BFFBBDA756E432F51D760F091B30D2D7DDAB50D880A82CEA21C04fDFCM" TargetMode="External"/><Relationship Id="rId108" Type="http://schemas.openxmlformats.org/officeDocument/2006/relationships/hyperlink" Target="consultantplus://offline/ref=FD2F4E6DFCB05F3E11A1FACFEA3BFFBBDA75614F245ED760F091B30D2Df7FDM" TargetMode="External"/><Relationship Id="rId129" Type="http://schemas.openxmlformats.org/officeDocument/2006/relationships/hyperlink" Target="consultantplus://offline/ref=FD2F4E6DFCB05F3E11A1FACFEA3BFFBBD2776E42265D8A6AF8C8BF0F2A7285A20AC10683CEA01Cf0F5M" TargetMode="External"/><Relationship Id="rId280" Type="http://schemas.openxmlformats.org/officeDocument/2006/relationships/hyperlink" Target="consultantplus://offline/ref=FD2F4E6DFCB05F3E11A1FACFEA3BFFBBDA746C4E2E50D760F091B30D2Df7FDM" TargetMode="External"/><Relationship Id="rId315" Type="http://schemas.openxmlformats.org/officeDocument/2006/relationships/hyperlink" Target="consultantplus://offline/ref=780D9B4BAEF53FE3CFA18DAC280958504E7C5194BCBC72D778ED3A467251ADD0591DE5B795g7F7M" TargetMode="External"/><Relationship Id="rId336" Type="http://schemas.openxmlformats.org/officeDocument/2006/relationships/image" Target="media/image25.wmf"/><Relationship Id="rId357" Type="http://schemas.openxmlformats.org/officeDocument/2006/relationships/image" Target="media/image46.wmf"/><Relationship Id="rId54" Type="http://schemas.openxmlformats.org/officeDocument/2006/relationships/image" Target="media/image1.wmf"/><Relationship Id="rId75" Type="http://schemas.openxmlformats.org/officeDocument/2006/relationships/hyperlink" Target="consultantplus://offline/ref=FD2F4E6DFCB05F3E11A1FACFEA3BFFBBDA746A402053D760F091B30D2D7DDAB50D880A82CEA21D07fDF6M" TargetMode="External"/><Relationship Id="rId96" Type="http://schemas.openxmlformats.org/officeDocument/2006/relationships/hyperlink" Target="consultantplus://offline/ref=FD2F4E6DFCB05F3E11A1FACFEA3BFFBBDA746E4E2752D760F091B30D2Df7FDM" TargetMode="External"/><Relationship Id="rId140" Type="http://schemas.openxmlformats.org/officeDocument/2006/relationships/hyperlink" Target="consultantplus://offline/ref=FD2F4E6DFCB05F3E11A1FACFEA3BFFBBDA72614E2655D760F091B30D2Df7FDM" TargetMode="External"/><Relationship Id="rId161" Type="http://schemas.openxmlformats.org/officeDocument/2006/relationships/hyperlink" Target="consultantplus://offline/ref=FD2F4E6DFCB05F3E11A1FACFEA3BFFBBDA7461402E52D760F091B30D2D7DDAB50D880A82CEA21C06fDF1M" TargetMode="External"/><Relationship Id="rId182" Type="http://schemas.openxmlformats.org/officeDocument/2006/relationships/hyperlink" Target="consultantplus://offline/ref=FD2F4E6DFCB05F3E11A1FACFEA3BFFBBDA746C4F2756D760F091B30D2Df7FDM" TargetMode="External"/><Relationship Id="rId217" Type="http://schemas.openxmlformats.org/officeDocument/2006/relationships/hyperlink" Target="consultantplus://offline/ref=FD2F4E6DFCB05F3E11A1FACFEA3BFFBBDA776943245ED760F091B30D2Df7FDM" TargetMode="External"/><Relationship Id="rId378" Type="http://schemas.openxmlformats.org/officeDocument/2006/relationships/image" Target="media/image67.wmf"/><Relationship Id="rId399" Type="http://schemas.openxmlformats.org/officeDocument/2006/relationships/image" Target="media/image88.wmf"/><Relationship Id="rId403" Type="http://schemas.openxmlformats.org/officeDocument/2006/relationships/image" Target="media/image92.wmf"/><Relationship Id="rId6" Type="http://schemas.openxmlformats.org/officeDocument/2006/relationships/hyperlink" Target="consultantplus://offline/ref=FD2F4E6DFCB05F3E11A1FACFEA3BFFBBDA7369402153D760F091B30D2Df7FDM" TargetMode="External"/><Relationship Id="rId238" Type="http://schemas.openxmlformats.org/officeDocument/2006/relationships/hyperlink" Target="consultantplus://offline/ref=FD2F4E6DFCB05F3E11A1FACFEA3BFFBBDA746F472051D760F091B30D2D7DDAB50D880A82CEA21505fDF5M" TargetMode="External"/><Relationship Id="rId259" Type="http://schemas.openxmlformats.org/officeDocument/2006/relationships/hyperlink" Target="consultantplus://offline/ref=FD2F4E6DFCB05F3E11A1FACFEA3BFFBBDA746E4E2750D760F091B30D2Df7FDM" TargetMode="External"/><Relationship Id="rId424" Type="http://schemas.openxmlformats.org/officeDocument/2006/relationships/image" Target="media/image113.wmf"/><Relationship Id="rId23" Type="http://schemas.openxmlformats.org/officeDocument/2006/relationships/hyperlink" Target="consultantplus://offline/ref=FD2F4E6DFCB05F3E11A1FACFEA3BFFBBDA7460462050D760F091B30D2D7DDAB50D880A82CEA21D06fDF4M" TargetMode="External"/><Relationship Id="rId119" Type="http://schemas.openxmlformats.org/officeDocument/2006/relationships/hyperlink" Target="consultantplus://offline/ref=FD2F4E6DFCB05F3E11A1FACFEA3BFFBBDA7260452755D760F091B30D2D7DDAB50D880A82CEA21504fDF0M" TargetMode="External"/><Relationship Id="rId270" Type="http://schemas.openxmlformats.org/officeDocument/2006/relationships/hyperlink" Target="consultantplus://offline/ref=FD2F4E6DFCB05F3E11A1FACFEA3BFFBBDA7468472F54D760F091B30D2Df7FDM" TargetMode="External"/><Relationship Id="rId291" Type="http://schemas.openxmlformats.org/officeDocument/2006/relationships/hyperlink" Target="consultantplus://offline/ref=780D9B4BAEF53FE3CFA18DAC280958504E7D5099BAB772D778ED3A4672g5F1M" TargetMode="External"/><Relationship Id="rId305" Type="http://schemas.openxmlformats.org/officeDocument/2006/relationships/hyperlink" Target="consultantplus://offline/ref=780D9B4BAEF53FE3CFA18DAC280958504E7D5195BFBF72D778ED3A467251ADD0591DE5B390759110g4F7M" TargetMode="External"/><Relationship Id="rId326" Type="http://schemas.openxmlformats.org/officeDocument/2006/relationships/image" Target="media/image15.wmf"/><Relationship Id="rId347" Type="http://schemas.openxmlformats.org/officeDocument/2006/relationships/image" Target="media/image36.wmf"/><Relationship Id="rId44" Type="http://schemas.openxmlformats.org/officeDocument/2006/relationships/hyperlink" Target="consultantplus://offline/ref=FD2F4E6DFCB05F3E11A1FACFEA3BFFBBDA746E4E2750D760F091B30D2Df7FDM" TargetMode="External"/><Relationship Id="rId65" Type="http://schemas.openxmlformats.org/officeDocument/2006/relationships/hyperlink" Target="consultantplus://offline/ref=FD2F4E6DFCB05F3E11A1FACFEA3BFFBBDA74684E2E55D760F091B30D2D7DDAB50D880A82CEA21C05fDF5M" TargetMode="External"/><Relationship Id="rId86" Type="http://schemas.openxmlformats.org/officeDocument/2006/relationships/hyperlink" Target="consultantplus://offline/ref=FD2F4E6DFCB05F3E11A1FACFEA3BFFBBDA7361442550D760F091B30D2D7DDAB50D880A82CEA21C06fDF0M" TargetMode="External"/><Relationship Id="rId130" Type="http://schemas.openxmlformats.org/officeDocument/2006/relationships/hyperlink" Target="consultantplus://offline/ref=FD2F4E6DFCB05F3E11A1FACFEA3BFFBBDA77694E2E50D760F091B30D2Df7FDM" TargetMode="External"/><Relationship Id="rId151" Type="http://schemas.openxmlformats.org/officeDocument/2006/relationships/hyperlink" Target="consultantplus://offline/ref=FD2F4E6DFCB05F3E11A1FACFEA3BFFBBDA746B432E51D760F091B30D2Df7FDM" TargetMode="External"/><Relationship Id="rId368" Type="http://schemas.openxmlformats.org/officeDocument/2006/relationships/image" Target="media/image57.wmf"/><Relationship Id="rId389" Type="http://schemas.openxmlformats.org/officeDocument/2006/relationships/image" Target="media/image78.wmf"/><Relationship Id="rId172" Type="http://schemas.openxmlformats.org/officeDocument/2006/relationships/hyperlink" Target="consultantplus://offline/ref=FD2F4E6DFCB05F3E11A1FACFEA3BFFBBDA736B432252D760F091B30D2D7DDAB50D880A82CEA21C04fDFDM" TargetMode="External"/><Relationship Id="rId193" Type="http://schemas.openxmlformats.org/officeDocument/2006/relationships/hyperlink" Target="consultantplus://offline/ref=FD2F4E6DFCB05F3E11A1FACFEA3BFFBBDA736A4E2E51D760F091B30D2Df7FDM" TargetMode="External"/><Relationship Id="rId207" Type="http://schemas.openxmlformats.org/officeDocument/2006/relationships/hyperlink" Target="consultantplus://offline/ref=FD2F4E6DFCB05F3E11A1FACFEA3BFFBBDA7260432355D760F091B30D2D7DDAB50D880A82CEA21C04fDF3M" TargetMode="External"/><Relationship Id="rId228" Type="http://schemas.openxmlformats.org/officeDocument/2006/relationships/hyperlink" Target="consultantplus://offline/ref=FD2F4E6DFCB05F3E11A1FACFEA3BFFBBDA776943245ED760F091B30D2Df7FDM" TargetMode="External"/><Relationship Id="rId249" Type="http://schemas.openxmlformats.org/officeDocument/2006/relationships/hyperlink" Target="consultantplus://offline/ref=FD2F4E6DFCB05F3E11A1FFC0E93BFFBBDA746D47205D8A6AF8C8BF0Ff2FAM" TargetMode="External"/><Relationship Id="rId414" Type="http://schemas.openxmlformats.org/officeDocument/2006/relationships/image" Target="media/image103.wmf"/><Relationship Id="rId13" Type="http://schemas.openxmlformats.org/officeDocument/2006/relationships/hyperlink" Target="consultantplus://offline/ref=FD2F4E6DFCB05F3E11A1FACFEA3BFFBBD2716E47275D8A6AF8C8BF0F2A7285A20AC10683CEA21Cf0FCM" TargetMode="External"/><Relationship Id="rId109" Type="http://schemas.openxmlformats.org/officeDocument/2006/relationships/hyperlink" Target="consultantplus://offline/ref=FD2F4E6DFCB05F3E11A1FACFEA3BFFBBDA77694E2E5FD760F091B30D2D7DDAB50D880A82CEA21C05fDFDM" TargetMode="External"/><Relationship Id="rId260" Type="http://schemas.openxmlformats.org/officeDocument/2006/relationships/hyperlink" Target="consultantplus://offline/ref=FD2F4E6DFCB05F3E11A1FACFEA3BFFBBDA746E4E2750D760F091B30D2Df7FDM" TargetMode="External"/><Relationship Id="rId281" Type="http://schemas.openxmlformats.org/officeDocument/2006/relationships/hyperlink" Target="consultantplus://offline/ref=FD2F4E6DFCB05F3E11A1FACFEA3BFFBBDA746E4E2655D760F091B30D2D7DDAB50D880A86CBfAF0M" TargetMode="External"/><Relationship Id="rId316" Type="http://schemas.openxmlformats.org/officeDocument/2006/relationships/hyperlink" Target="consultantplus://offline/ref=780D9B4BAEF53FE3CFA18DAC280958504E7C5194BDB972D778ED3A4672g5F1M" TargetMode="External"/><Relationship Id="rId337" Type="http://schemas.openxmlformats.org/officeDocument/2006/relationships/image" Target="media/image26.wmf"/><Relationship Id="rId34" Type="http://schemas.openxmlformats.org/officeDocument/2006/relationships/hyperlink" Target="consultantplus://offline/ref=FD2F4E6DFCB05F3E11A1FACFEA3BFFBBDA7469432154D760F091B30D2D7DDAB50D880A82CEA21C04fDF3M" TargetMode="External"/><Relationship Id="rId55" Type="http://schemas.openxmlformats.org/officeDocument/2006/relationships/image" Target="media/image2.wmf"/><Relationship Id="rId76" Type="http://schemas.openxmlformats.org/officeDocument/2006/relationships/hyperlink" Target="consultantplus://offline/ref=FD2F4E6DFCB05F3E11A1FACFEA3BFFBBDA7560402F50D760F091B30D2Df7FDM" TargetMode="External"/><Relationship Id="rId97" Type="http://schemas.openxmlformats.org/officeDocument/2006/relationships/hyperlink" Target="consultantplus://offline/ref=FD2F4E6DFCB05F3E11A1FACFEA3BFFBBDA75614F2F5ED760F091B30D2Df7FDM" TargetMode="External"/><Relationship Id="rId120" Type="http://schemas.openxmlformats.org/officeDocument/2006/relationships/hyperlink" Target="consultantplus://offline/ref=FD2F4E6DFCB05F3E11A1FACFEA3BFFBBDA716042275FD760F091B30D2D7DDAB50D880A82CEA21C04fDF3M" TargetMode="External"/><Relationship Id="rId141" Type="http://schemas.openxmlformats.org/officeDocument/2006/relationships/hyperlink" Target="consultantplus://offline/ref=FD2F4E6DFCB05F3E11A1FACFEA3BFFBBD2736B43235D8A6AF8C8BF0Ff2FAM" TargetMode="External"/><Relationship Id="rId358" Type="http://schemas.openxmlformats.org/officeDocument/2006/relationships/image" Target="media/image47.wmf"/><Relationship Id="rId379" Type="http://schemas.openxmlformats.org/officeDocument/2006/relationships/image" Target="media/image68.wmf"/><Relationship Id="rId7" Type="http://schemas.openxmlformats.org/officeDocument/2006/relationships/hyperlink" Target="consultantplus://offline/ref=FD2F4E6DFCB05F3E11A1FACFEA3BFFBBDA756F43205ED760F091B30D2Df7FDM" TargetMode="External"/><Relationship Id="rId162" Type="http://schemas.openxmlformats.org/officeDocument/2006/relationships/hyperlink" Target="consultantplus://offline/ref=FD2F4E6DFCB05F3E11A1FACFEA3BFFBBDA75604E2256D760F091B30D2Df7FDM" TargetMode="External"/><Relationship Id="rId183" Type="http://schemas.openxmlformats.org/officeDocument/2006/relationships/hyperlink" Target="consultantplus://offline/ref=FD2F4E6DFCB05F3E11A1FACFEA3BFFBBDA7561472754D760F091B30D2D7DDAB50D880A82CEA21C03fDF2M" TargetMode="External"/><Relationship Id="rId218" Type="http://schemas.openxmlformats.org/officeDocument/2006/relationships/hyperlink" Target="consultantplus://offline/ref=FD2F4E6DFCB05F3E11A1FACFEA3BFFBBDA776943245ED760F091B30D2Df7FDM" TargetMode="External"/><Relationship Id="rId239" Type="http://schemas.openxmlformats.org/officeDocument/2006/relationships/hyperlink" Target="consultantplus://offline/ref=FD2F4E6DFCB05F3E11A1FACFEA3BFFBBDA756C472457D760F091B30D2D7DDAB50D880A82CEA21C05fDF4M" TargetMode="External"/><Relationship Id="rId390" Type="http://schemas.openxmlformats.org/officeDocument/2006/relationships/image" Target="media/image79.wmf"/><Relationship Id="rId404" Type="http://schemas.openxmlformats.org/officeDocument/2006/relationships/image" Target="media/image93.wmf"/><Relationship Id="rId425" Type="http://schemas.openxmlformats.org/officeDocument/2006/relationships/image" Target="media/image114.wmf"/><Relationship Id="rId250" Type="http://schemas.openxmlformats.org/officeDocument/2006/relationships/hyperlink" Target="consultantplus://offline/ref=FD2F4E6DFCB05F3E11A1FACFEA3BFFBBDA7361442252D760F091B30D2Df7FDM" TargetMode="External"/><Relationship Id="rId271" Type="http://schemas.openxmlformats.org/officeDocument/2006/relationships/hyperlink" Target="consultantplus://offline/ref=FD2F4E6DFCB05F3E11A1FACFEA3BFFBBDA746E4E2750D760F091B30D2Df7FDM" TargetMode="External"/><Relationship Id="rId292" Type="http://schemas.openxmlformats.org/officeDocument/2006/relationships/hyperlink" Target="consultantplus://offline/ref=780D9B4BAEF53FE3CFA18DAC280958504E7C5F99BDB772D778ED3A467251ADD0591DE5B390759416g4F2M" TargetMode="External"/><Relationship Id="rId306" Type="http://schemas.openxmlformats.org/officeDocument/2006/relationships/hyperlink" Target="consultantplus://offline/ref=780D9B4BAEF53FE3CFA18DAC280958504E7D5195BFBF72D778ED3A467251ADD0591DE5B390759113g4F5M" TargetMode="External"/><Relationship Id="rId24" Type="http://schemas.openxmlformats.org/officeDocument/2006/relationships/hyperlink" Target="consultantplus://offline/ref=FD2F4E6DFCB05F3E11A1FACFEA3BFFBBDA75694E245ED760F091B30D2D7DDAB50D880A82CEA21C05fDF4M" TargetMode="External"/><Relationship Id="rId45" Type="http://schemas.openxmlformats.org/officeDocument/2006/relationships/hyperlink" Target="consultantplus://offline/ref=FD2F4E6DFCB05F3E11A1FACFEA3BFFBBDA75614F245ED760F091B30D2Df7FDM" TargetMode="External"/><Relationship Id="rId66" Type="http://schemas.openxmlformats.org/officeDocument/2006/relationships/hyperlink" Target="consultantplus://offline/ref=FD2F4E6DFCB05F3E11A1FACFEA3BFFBBDA7468472650D760F091B30D2Df7FDM" TargetMode="External"/><Relationship Id="rId87" Type="http://schemas.openxmlformats.org/officeDocument/2006/relationships/hyperlink" Target="consultantplus://offline/ref=FD2F4E6DFCB05F3E11A1FACFEA3BFFBBDA75614F245ED760F091B30D2Df7FDM" TargetMode="External"/><Relationship Id="rId110" Type="http://schemas.openxmlformats.org/officeDocument/2006/relationships/hyperlink" Target="consultantplus://offline/ref=FD2F4E6DFCB05F3E11A1FACFEA3BFFBBDA75614F245ED760F091B30D2D7DDAB50D880A80C7fAF6M" TargetMode="External"/><Relationship Id="rId131" Type="http://schemas.openxmlformats.org/officeDocument/2006/relationships/hyperlink" Target="consultantplus://offline/ref=FD2F4E6DFCB05F3E11A1FACFEA3BFFBBD2766A452F5D8A6AF8C8BF0Ff2FAM" TargetMode="External"/><Relationship Id="rId327" Type="http://schemas.openxmlformats.org/officeDocument/2006/relationships/image" Target="media/image16.wmf"/><Relationship Id="rId348" Type="http://schemas.openxmlformats.org/officeDocument/2006/relationships/image" Target="media/image37.wmf"/><Relationship Id="rId369" Type="http://schemas.openxmlformats.org/officeDocument/2006/relationships/image" Target="media/image58.wmf"/><Relationship Id="rId152" Type="http://schemas.openxmlformats.org/officeDocument/2006/relationships/hyperlink" Target="consultantplus://offline/ref=FD2F4E6DFCB05F3E11A1FACFEA3BFFBBDA746C4E2F53D760F091B30D2Df7FDM" TargetMode="External"/><Relationship Id="rId173" Type="http://schemas.openxmlformats.org/officeDocument/2006/relationships/hyperlink" Target="consultantplus://offline/ref=FD2F4E6DFCB05F3E11A1FACFEA3BFFBBDA7268472255D760F091B30D2Df7FDM" TargetMode="External"/><Relationship Id="rId194" Type="http://schemas.openxmlformats.org/officeDocument/2006/relationships/hyperlink" Target="consultantplus://offline/ref=FD2F4E6DFCB05F3E11A1FACFEA3BFFBBDA736A4E2E51D760F091B30D2Df7FDM" TargetMode="External"/><Relationship Id="rId208" Type="http://schemas.openxmlformats.org/officeDocument/2006/relationships/hyperlink" Target="consultantplus://offline/ref=FD2F4E6DFCB05F3E11A1FACFEA3BFFBBDA756C422755D760F091B30D2D7DDAB50D880A82CEA21C04fDF3M" TargetMode="External"/><Relationship Id="rId229" Type="http://schemas.openxmlformats.org/officeDocument/2006/relationships/hyperlink" Target="consultantplus://offline/ref=FD2F4E6DFCB05F3E11A1E6DCF73BFFBBDA7168452654D760F091B30D2Df7FDM" TargetMode="External"/><Relationship Id="rId380" Type="http://schemas.openxmlformats.org/officeDocument/2006/relationships/image" Target="media/image69.wmf"/><Relationship Id="rId415" Type="http://schemas.openxmlformats.org/officeDocument/2006/relationships/image" Target="media/image104.wmf"/><Relationship Id="rId240" Type="http://schemas.openxmlformats.org/officeDocument/2006/relationships/hyperlink" Target="consultantplus://offline/ref=FD2F4E6DFCB05F3E11A1FACFEA3BFFBBDA756B472352D760F091B30D2D7DDAB50D880A82CEA21C04fDF3M" TargetMode="External"/><Relationship Id="rId261" Type="http://schemas.openxmlformats.org/officeDocument/2006/relationships/hyperlink" Target="consultantplus://offline/ref=FD2F4E6DFCB05F3E11A1FACFEA3BFFBBDA746E4E2750D760F091B30D2Df7FDM" TargetMode="External"/><Relationship Id="rId14" Type="http://schemas.openxmlformats.org/officeDocument/2006/relationships/hyperlink" Target="consultantplus://offline/ref=FD2F4E6DFCB05F3E11A1FACFEA3BFFBBDA7361442255D760F091B30D2Df7FDM" TargetMode="External"/><Relationship Id="rId35" Type="http://schemas.openxmlformats.org/officeDocument/2006/relationships/hyperlink" Target="consultantplus://offline/ref=FD2F4E6DFCB05F3E11A1FACFEA3BFFBBDA746F472051D760F091B30D2D7DDAB50D880A82CEA21505fDF5M" TargetMode="External"/><Relationship Id="rId56" Type="http://schemas.openxmlformats.org/officeDocument/2006/relationships/image" Target="media/image3.wmf"/><Relationship Id="rId77" Type="http://schemas.openxmlformats.org/officeDocument/2006/relationships/hyperlink" Target="consultantplus://offline/ref=FD2F4E6DFCB05F3E11A1FACFEA3BFFBBDA756145275ED760F091B30D2Df7FDM" TargetMode="External"/><Relationship Id="rId100" Type="http://schemas.openxmlformats.org/officeDocument/2006/relationships/hyperlink" Target="consultantplus://offline/ref=FD2F4E6DFCB05F3E11A1FACFEA3BFFBBDA746F472153D760F091B30D2Df7FDM" TargetMode="External"/><Relationship Id="rId282" Type="http://schemas.openxmlformats.org/officeDocument/2006/relationships/hyperlink" Target="consultantplus://offline/ref=FD2F4E6DFCB05F3E11A1FACFEA3BFFBBDA746E4E2750D760F091B30D2Df7FDM" TargetMode="External"/><Relationship Id="rId317" Type="http://schemas.openxmlformats.org/officeDocument/2006/relationships/hyperlink" Target="consultantplus://offline/ref=780D9B4BAEF53FE3CFA18DAC280958504E7D5E9FBDB772D778ED3A4672g5F1M" TargetMode="External"/><Relationship Id="rId338" Type="http://schemas.openxmlformats.org/officeDocument/2006/relationships/image" Target="media/image27.wmf"/><Relationship Id="rId359" Type="http://schemas.openxmlformats.org/officeDocument/2006/relationships/image" Target="media/image48.wmf"/><Relationship Id="rId8" Type="http://schemas.openxmlformats.org/officeDocument/2006/relationships/hyperlink" Target="consultantplus://offline/ref=FD2F4E6DFCB05F3E11A1FACFEA3BFFBBDA706D40235ED760F091B30D2Df7FDM" TargetMode="External"/><Relationship Id="rId98" Type="http://schemas.openxmlformats.org/officeDocument/2006/relationships/hyperlink" Target="consultantplus://offline/ref=FD2F4E6DFCB05F3E11A1FACFEA3BFFBBDA7561432F56D760F091B30D2Df7FDM" TargetMode="External"/><Relationship Id="rId121" Type="http://schemas.openxmlformats.org/officeDocument/2006/relationships/hyperlink" Target="consultantplus://offline/ref=FD2F4E6DFCB05F3E11A1FACFEA3BFFBBDA7769412456D760F091B30D2D7DDAB50D880A82CEA21F04fDF2M" TargetMode="External"/><Relationship Id="rId142" Type="http://schemas.openxmlformats.org/officeDocument/2006/relationships/hyperlink" Target="consultantplus://offline/ref=FD2F4E6DFCB05F3E11A1FACFEA3BFFBBDA7361442550D760F091B30D2Df7FDM" TargetMode="External"/><Relationship Id="rId163" Type="http://schemas.openxmlformats.org/officeDocument/2006/relationships/hyperlink" Target="consultantplus://offline/ref=FD2F4E6DFCB05F3E11A1FACFEA3BFFBBDA74614F2250D760F091B30D2Df7FDM" TargetMode="External"/><Relationship Id="rId184" Type="http://schemas.openxmlformats.org/officeDocument/2006/relationships/hyperlink" Target="consultantplus://offline/ref=FD2F4E6DFCB05F3E11A1FACFEA3BFFBBDA7561462151D760F091B30D2Df7FDM" TargetMode="External"/><Relationship Id="rId219" Type="http://schemas.openxmlformats.org/officeDocument/2006/relationships/hyperlink" Target="consultantplus://offline/ref=FD2F4E6DFCB05F3E11A1FACFEA3BFFBBDA776943245ED760F091B30D2D7DDAB50D880A82CEA21C0DfDFDM" TargetMode="External"/><Relationship Id="rId370" Type="http://schemas.openxmlformats.org/officeDocument/2006/relationships/image" Target="media/image59.wmf"/><Relationship Id="rId391" Type="http://schemas.openxmlformats.org/officeDocument/2006/relationships/image" Target="media/image80.wmf"/><Relationship Id="rId405" Type="http://schemas.openxmlformats.org/officeDocument/2006/relationships/image" Target="media/image94.wmf"/><Relationship Id="rId426" Type="http://schemas.openxmlformats.org/officeDocument/2006/relationships/image" Target="media/image115.wmf"/><Relationship Id="rId230" Type="http://schemas.openxmlformats.org/officeDocument/2006/relationships/hyperlink" Target="consultantplus://offline/ref=FD2F4E6DFCB05F3E11A1FACFEA3BFFBBDA746E4F2E54D760F091B30D2D7DDAB50D880A82CEA21C01fDFDM" TargetMode="External"/><Relationship Id="rId251" Type="http://schemas.openxmlformats.org/officeDocument/2006/relationships/hyperlink" Target="consultantplus://offline/ref=FD2F4E6DFCB05F3E11A1FACFEA3BFFBBDA7769472F57D760F091B30D2D7DDAB50D880A82CEA31806fDF0M" TargetMode="External"/><Relationship Id="rId25" Type="http://schemas.openxmlformats.org/officeDocument/2006/relationships/hyperlink" Target="consultantplus://offline/ref=FD2F4E6DFCB05F3E11A1E6DCF73BFFBBDA7168452654D760F091B30D2Df7FDM" TargetMode="External"/><Relationship Id="rId46" Type="http://schemas.openxmlformats.org/officeDocument/2006/relationships/hyperlink" Target="consultantplus://offline/ref=FD2F4E6DFCB05F3E11A1FACFEA3BFFBBDA756B472352D760F091B30D2D7DDAB50D880A82CEA21C04fDF3M" TargetMode="External"/><Relationship Id="rId67" Type="http://schemas.openxmlformats.org/officeDocument/2006/relationships/hyperlink" Target="consultantplus://offline/ref=FD2F4E6DFCB05F3E11A1FACFEA3BFFBBDA7160442551D760F091B30D2Df7FDM" TargetMode="External"/><Relationship Id="rId272" Type="http://schemas.openxmlformats.org/officeDocument/2006/relationships/hyperlink" Target="consultantplus://offline/ref=FD2F4E6DFCB05F3E11A1FACFEA3BFFBBDA746E4E2750D760F091B30D2Df7FDM" TargetMode="External"/><Relationship Id="rId293" Type="http://schemas.openxmlformats.org/officeDocument/2006/relationships/hyperlink" Target="consultantplus://offline/ref=780D9B4BAEF53FE3CFA18DAC280958504E7C509DBBBA72D778ED3A4672g5F1M" TargetMode="External"/><Relationship Id="rId307" Type="http://schemas.openxmlformats.org/officeDocument/2006/relationships/hyperlink" Target="consultantplus://offline/ref=780D9B4BAEF53FE3CFA18DAC280958504E7D5195BFBF72D778ED3A467251ADD0591DE5B390759113g4F4M" TargetMode="External"/><Relationship Id="rId328" Type="http://schemas.openxmlformats.org/officeDocument/2006/relationships/image" Target="media/image17.wmf"/><Relationship Id="rId349" Type="http://schemas.openxmlformats.org/officeDocument/2006/relationships/image" Target="media/image38.wmf"/><Relationship Id="rId88" Type="http://schemas.openxmlformats.org/officeDocument/2006/relationships/hyperlink" Target="consultantplus://offline/ref=FD2F4E6DFCB05F3E11A1FACFEA3BFFBBDA746D4E2555D760F091B30D2D7DDAB50D880A82CEA21C05fDF0M" TargetMode="External"/><Relationship Id="rId111" Type="http://schemas.openxmlformats.org/officeDocument/2006/relationships/hyperlink" Target="consultantplus://offline/ref=FD2F4E6DFCB05F3E11A1FACFEA3BFFBBDA726D4F205FD760F091B30D2D7DDAB50D880Af8F1M" TargetMode="External"/><Relationship Id="rId132" Type="http://schemas.openxmlformats.org/officeDocument/2006/relationships/hyperlink" Target="consultantplus://offline/ref=FD2F4E6DFCB05F3E11A1FACFEA3BFFBBD3776847275D8A6AF8C8BF0F2A7285A20AC10683CEA11Bf0F6M" TargetMode="External"/><Relationship Id="rId153" Type="http://schemas.openxmlformats.org/officeDocument/2006/relationships/hyperlink" Target="consultantplus://offline/ref=FD2F4E6DFCB05F3E11A1FACFEA3BFFBBDA706B412350D760F091B30D2Df7FDM" TargetMode="External"/><Relationship Id="rId174" Type="http://schemas.openxmlformats.org/officeDocument/2006/relationships/hyperlink" Target="consultantplus://offline/ref=FD2F4E6DFCB05F3E11A1FACFEA3BFFBBDA7268472255D760F091B30D2Df7FDM" TargetMode="External"/><Relationship Id="rId195" Type="http://schemas.openxmlformats.org/officeDocument/2006/relationships/hyperlink" Target="consultantplus://offline/ref=FD2F4E6DFCB05F3E11A1FACFEA3BFFBBDA726F4F2154D760F091B30D2D7DDAB50D880A82CEA21C05fDF5M" TargetMode="External"/><Relationship Id="rId209" Type="http://schemas.openxmlformats.org/officeDocument/2006/relationships/hyperlink" Target="consultantplus://offline/ref=FD2F4E6DFCB05F3E11A1FACFEA3BFFBBDA756C472454D760F091B30D2D7DDAB50D880A82CEA21C04fDFCM" TargetMode="External"/><Relationship Id="rId360" Type="http://schemas.openxmlformats.org/officeDocument/2006/relationships/image" Target="media/image49.wmf"/><Relationship Id="rId381" Type="http://schemas.openxmlformats.org/officeDocument/2006/relationships/image" Target="media/image70.wmf"/><Relationship Id="rId416" Type="http://schemas.openxmlformats.org/officeDocument/2006/relationships/image" Target="media/image105.wmf"/><Relationship Id="rId220" Type="http://schemas.openxmlformats.org/officeDocument/2006/relationships/hyperlink" Target="consultantplus://offline/ref=FD2F4E6DFCB05F3E11A1FACFEA3BFFBBDA776943245ED760F091B30D2D7DDAB50D880A82CEA21804fDF0M" TargetMode="External"/><Relationship Id="rId241" Type="http://schemas.openxmlformats.org/officeDocument/2006/relationships/hyperlink" Target="consultantplus://offline/ref=FD2F4E6DFCB05F3E11A1FACFEA3BFFBBDA736B432252D760F091B30D2D7DDAB50D880A82CEA21C04fDFDM" TargetMode="External"/><Relationship Id="rId15" Type="http://schemas.openxmlformats.org/officeDocument/2006/relationships/hyperlink" Target="consultantplus://offline/ref=FD2F4E6DFCB05F3E11A1FACFEA3BFFBBDA746E462452D760F091B30D2Df7FDM" TargetMode="External"/><Relationship Id="rId36" Type="http://schemas.openxmlformats.org/officeDocument/2006/relationships/hyperlink" Target="consultantplus://offline/ref=FD2F4E6DFCB05F3E11A1FACFEA3BFFBBDA746C472F55D760F091B30D2D7DDAB50D880A82CCA0180DfDFDM" TargetMode="External"/><Relationship Id="rId57" Type="http://schemas.openxmlformats.org/officeDocument/2006/relationships/image" Target="media/image4.wmf"/><Relationship Id="rId262" Type="http://schemas.openxmlformats.org/officeDocument/2006/relationships/hyperlink" Target="consultantplus://offline/ref=FD2F4E6DFCB05F3E11A1FACFEA3BFFBBD2716E47275D8A6AF8C8BF0F2A7285A20AC10683CEA21Cf0FCM" TargetMode="External"/><Relationship Id="rId283" Type="http://schemas.openxmlformats.org/officeDocument/2006/relationships/hyperlink" Target="consultantplus://offline/ref=FD2F4E6DFCB05F3E11A1FACFEA3BFFBBDA746E4E2750D760F091B30D2Df7FDM" TargetMode="External"/><Relationship Id="rId318" Type="http://schemas.openxmlformats.org/officeDocument/2006/relationships/hyperlink" Target="consultantplus://offline/ref=780D9B4BAEF53FE3CFA18DAC280958504E7D5F9AB5B972D778ED3A4672g5F1M" TargetMode="External"/><Relationship Id="rId339" Type="http://schemas.openxmlformats.org/officeDocument/2006/relationships/image" Target="media/image28.wmf"/><Relationship Id="rId78" Type="http://schemas.openxmlformats.org/officeDocument/2006/relationships/hyperlink" Target="consultantplus://offline/ref=FD2F4E6DFCB05F3E11A1FACFEA3BFFBBDA73694F2552D760F091B30D2Df7FDM" TargetMode="External"/><Relationship Id="rId99" Type="http://schemas.openxmlformats.org/officeDocument/2006/relationships/hyperlink" Target="consultantplus://offline/ref=FD2F4E6DFCB05F3E11A1FACFEA3BFFBBDA746F472153D760F091B30D2Df7FDM" TargetMode="External"/><Relationship Id="rId101" Type="http://schemas.openxmlformats.org/officeDocument/2006/relationships/hyperlink" Target="consultantplus://offline/ref=FD2F4E6DFCB05F3E11A1FACFEA3BFFBBDA746E4E2551D760F091B30D2Df7FDM" TargetMode="External"/><Relationship Id="rId122" Type="http://schemas.openxmlformats.org/officeDocument/2006/relationships/hyperlink" Target="consultantplus://offline/ref=FD2F4E6DFCB05F3E11A1FACFEA3BFFBBDA746B452F5ED760F091B30D2D7DDAB50D880A82CEA21C05fDF4M" TargetMode="External"/><Relationship Id="rId143" Type="http://schemas.openxmlformats.org/officeDocument/2006/relationships/hyperlink" Target="consultantplus://offline/ref=FD2F4E6DFCB05F3E11A1FACFEA3BFFBBDA75604E215ED760F091B30D2Df7FDM" TargetMode="External"/><Relationship Id="rId164" Type="http://schemas.openxmlformats.org/officeDocument/2006/relationships/hyperlink" Target="consultantplus://offline/ref=FD2F4E6DFCB05F3E11A1FACFEA3BFFBBDA7461402157D760F091B30D2Df7FDM" TargetMode="External"/><Relationship Id="rId185" Type="http://schemas.openxmlformats.org/officeDocument/2006/relationships/hyperlink" Target="consultantplus://offline/ref=FD2F4E6DFCB05F3E11A1FACFEA3BFFBBDA756F44255ED760F091B30D2D7DDAB50D880A82CDfAF7M" TargetMode="External"/><Relationship Id="rId350" Type="http://schemas.openxmlformats.org/officeDocument/2006/relationships/image" Target="media/image39.wmf"/><Relationship Id="rId371" Type="http://schemas.openxmlformats.org/officeDocument/2006/relationships/image" Target="media/image60.wmf"/><Relationship Id="rId406" Type="http://schemas.openxmlformats.org/officeDocument/2006/relationships/image" Target="media/image95.wmf"/><Relationship Id="rId9" Type="http://schemas.openxmlformats.org/officeDocument/2006/relationships/hyperlink" Target="consultantplus://offline/ref=FD2F4E6DFCB05F3E11A1FACFEA3BFFBBDA7461452450D760F091B30D2Df7FDM" TargetMode="External"/><Relationship Id="rId210" Type="http://schemas.openxmlformats.org/officeDocument/2006/relationships/hyperlink" Target="consultantplus://offline/ref=FD2F4E6DFCB05F3E11A1FACFEA3BFFBBDA7768462554D760F091B30D2Df7FDM" TargetMode="External"/><Relationship Id="rId392" Type="http://schemas.openxmlformats.org/officeDocument/2006/relationships/image" Target="media/image81.wmf"/><Relationship Id="rId427" Type="http://schemas.openxmlformats.org/officeDocument/2006/relationships/image" Target="media/image116.wmf"/><Relationship Id="rId26" Type="http://schemas.openxmlformats.org/officeDocument/2006/relationships/hyperlink" Target="consultantplus://offline/ref=FD2F4E6DFCB05F3E11A1E6DCF73BFFBBDA716D4F275FD760F091B30D2Df7FDM" TargetMode="External"/><Relationship Id="rId231" Type="http://schemas.openxmlformats.org/officeDocument/2006/relationships/hyperlink" Target="consultantplus://offline/ref=FD2F4E6DFCB05F3E11A1FACFEA3BFFBBDA716A4F2053D760F091B30D2Df7FDM" TargetMode="External"/><Relationship Id="rId252" Type="http://schemas.openxmlformats.org/officeDocument/2006/relationships/hyperlink" Target="consultantplus://offline/ref=FD2F4E6DFCB05F3E11A1FACFEA3BFFBBDA7468472F54D760F091B30D2Df7FDM" TargetMode="External"/><Relationship Id="rId273" Type="http://schemas.openxmlformats.org/officeDocument/2006/relationships/hyperlink" Target="consultantplus://offline/ref=FD2F4E6DFCB05F3E11A1FACFEA3BFFBBDA746E4E2750D760F091B30D2Df7FDM" TargetMode="External"/><Relationship Id="rId294" Type="http://schemas.openxmlformats.org/officeDocument/2006/relationships/hyperlink" Target="consultantplus://offline/ref=780D9B4BAEF53FE3CFA18DAC280958504C705F9CBAB42FDD70B43644g7F5M" TargetMode="External"/><Relationship Id="rId308" Type="http://schemas.openxmlformats.org/officeDocument/2006/relationships/hyperlink" Target="consultantplus://offline/ref=780D9B4BAEF53FE3CFA18DAC280958504E7D539ABDBE72D778ED3A4672g5F1M" TargetMode="External"/><Relationship Id="rId329" Type="http://schemas.openxmlformats.org/officeDocument/2006/relationships/image" Target="media/image18.wmf"/><Relationship Id="rId47" Type="http://schemas.openxmlformats.org/officeDocument/2006/relationships/hyperlink" Target="consultantplus://offline/ref=FD2F4E6DFCB05F3E11A1FACFEA3BFFBBDA756B41265ED760F091B30D2D7DDAB50D880A82CEA21C04fDF3M" TargetMode="External"/><Relationship Id="rId68" Type="http://schemas.openxmlformats.org/officeDocument/2006/relationships/hyperlink" Target="consultantplus://offline/ref=FD2F4E6DFCB05F3E11A1FACFEA3BFFBBDA706940215ED760F091B30D2Df7FDM" TargetMode="External"/><Relationship Id="rId89" Type="http://schemas.openxmlformats.org/officeDocument/2006/relationships/hyperlink" Target="consultantplus://offline/ref=FD2F4E6DFCB05F3E11A1FACFEA3BFFBBDA746F472153D760F091B30D2Df7FDM" TargetMode="External"/><Relationship Id="rId112" Type="http://schemas.openxmlformats.org/officeDocument/2006/relationships/hyperlink" Target="consultantplus://offline/ref=FD2F4E6DFCB05F3E11A1FACFEA3BFFBBDA7769462256D760F091B30D2D7DDAB50D880A82CEA21C04fDF2M" TargetMode="External"/><Relationship Id="rId133" Type="http://schemas.openxmlformats.org/officeDocument/2006/relationships/hyperlink" Target="consultantplus://offline/ref=FD2F4E6DFCB05F3E11A1FACFEA3BFFBBDA726C41225ED760F091B30D2D7DDAB50D880A82CEA21C05fDF4M" TargetMode="External"/><Relationship Id="rId154" Type="http://schemas.openxmlformats.org/officeDocument/2006/relationships/hyperlink" Target="consultantplus://offline/ref=FD2F4E6DFCB05F3E11A1FACFEA3BFFBBDA7560452E51D760F091B30D2Df7FDM" TargetMode="External"/><Relationship Id="rId175" Type="http://schemas.openxmlformats.org/officeDocument/2006/relationships/hyperlink" Target="consultantplus://offline/ref=FD2F4E6DFCB05F3E11A1FACFEA3BFFBBDA7268472255D760F091B30D2Df7FDM" TargetMode="External"/><Relationship Id="rId340" Type="http://schemas.openxmlformats.org/officeDocument/2006/relationships/image" Target="media/image29.wmf"/><Relationship Id="rId361" Type="http://schemas.openxmlformats.org/officeDocument/2006/relationships/image" Target="media/image50.wmf"/><Relationship Id="rId196" Type="http://schemas.openxmlformats.org/officeDocument/2006/relationships/hyperlink" Target="consultantplus://offline/ref=FD2F4E6DFCB05F3E11A1FACFEA3BFFBBDA736B452F57D760F091B30D2D7DDAB50D880A82CEA21C04fDF2M" TargetMode="External"/><Relationship Id="rId200" Type="http://schemas.openxmlformats.org/officeDocument/2006/relationships/hyperlink" Target="consultantplus://offline/ref=FD2F4E6DFCB05F3E11A1FACFEA3BFFBBDA756C422755D760F091B30D2D7DDAB50D880A82CEA21C04fDF3M" TargetMode="External"/><Relationship Id="rId382" Type="http://schemas.openxmlformats.org/officeDocument/2006/relationships/image" Target="media/image71.wmf"/><Relationship Id="rId417" Type="http://schemas.openxmlformats.org/officeDocument/2006/relationships/image" Target="media/image106.wmf"/><Relationship Id="rId16" Type="http://schemas.openxmlformats.org/officeDocument/2006/relationships/hyperlink" Target="consultantplus://offline/ref=FD2F4E6DFCB05F3E11A1FACFEA3BFFBBDA726C41225ED760F091B30D2D7DDAB50D880A82CEA21C05fDF4M" TargetMode="External"/><Relationship Id="rId221" Type="http://schemas.openxmlformats.org/officeDocument/2006/relationships/hyperlink" Target="consultantplus://offline/ref=FD2F4E6DFCB05F3E11A1FACFEA3BFFBBDA776943245ED760F091B30D2D7DDAB50D880A82CEA21805fDF1M" TargetMode="External"/><Relationship Id="rId242" Type="http://schemas.openxmlformats.org/officeDocument/2006/relationships/hyperlink" Target="consultantplus://offline/ref=FD2F4E6DFCB05F3E11A1FACFEA3BFFBBDA746E4E2251D760F091B30D2Df7FDM" TargetMode="External"/><Relationship Id="rId263" Type="http://schemas.openxmlformats.org/officeDocument/2006/relationships/hyperlink" Target="consultantplus://offline/ref=FD2F4E6DFCB05F3E11A1FACFEA3BFFBBDA736B432252D760F091B30D2D7DDAB50D880A82CEA21C04fDFDM" TargetMode="External"/><Relationship Id="rId284" Type="http://schemas.openxmlformats.org/officeDocument/2006/relationships/hyperlink" Target="consultantplus://offline/ref=FD2F4E6DFCB05F3E11A1FACFEA3BFFBBDA746E4E2750D760F091B30D2D7DDAB50D880A82CEA21D05fDF0M" TargetMode="External"/><Relationship Id="rId319" Type="http://schemas.openxmlformats.org/officeDocument/2006/relationships/hyperlink" Target="consultantplus://offline/ref=780D9B4BAEF53FE3CFA18DAC280958504E7C5194BDB972D778ED3A4672g5F1M" TargetMode="External"/><Relationship Id="rId37" Type="http://schemas.openxmlformats.org/officeDocument/2006/relationships/hyperlink" Target="consultantplus://offline/ref=FD2F4E6DFCB05F3E11A1FACFEA3BFFBBDA756B41265ED760F091B30D2D7DDAB50D880A82CEA21C04fDF3M" TargetMode="External"/><Relationship Id="rId58" Type="http://schemas.openxmlformats.org/officeDocument/2006/relationships/image" Target="media/image5.wmf"/><Relationship Id="rId79" Type="http://schemas.openxmlformats.org/officeDocument/2006/relationships/hyperlink" Target="consultantplus://offline/ref=FD2F4E6DFCB05F3E11A1F3D6ED3BFFBBDE726C462654D760F091B30D2Df7FDM" TargetMode="External"/><Relationship Id="rId102" Type="http://schemas.openxmlformats.org/officeDocument/2006/relationships/hyperlink" Target="consultantplus://offline/ref=FD2F4E6DFCB05F3E11A1FACFEA3BFFBBDA746043275ED760F091B30D2D7DDAB50D880A82CEA21D07fDF3M" TargetMode="External"/><Relationship Id="rId123" Type="http://schemas.openxmlformats.org/officeDocument/2006/relationships/hyperlink" Target="consultantplus://offline/ref=FD2F4E6DFCB05F3E11A1FACFEA3BFFBBDA73614E235FD760F091B30D2D7DDAB50D880A82CEA21C04fDFCM" TargetMode="External"/><Relationship Id="rId144" Type="http://schemas.openxmlformats.org/officeDocument/2006/relationships/hyperlink" Target="consultantplus://offline/ref=FD2F4E6DFCB05F3E11A1FACFEA3BFFBBDA7768462557D760F091B30D2Df7FDM" TargetMode="External"/><Relationship Id="rId330" Type="http://schemas.openxmlformats.org/officeDocument/2006/relationships/image" Target="media/image19.wmf"/><Relationship Id="rId90" Type="http://schemas.openxmlformats.org/officeDocument/2006/relationships/hyperlink" Target="consultantplus://offline/ref=FD2F4E6DFCB05F3E11A1FACFEA3BFFBBDA746F472153D760F091B30D2D7DDAB50D880A82CEA2190DfDFDM" TargetMode="External"/><Relationship Id="rId165" Type="http://schemas.openxmlformats.org/officeDocument/2006/relationships/hyperlink" Target="consultantplus://offline/ref=FD2F4E6DFCB05F3E11A1FACFEA3BFFBBDA7768462557D760F091B30D2Df7FDM" TargetMode="External"/><Relationship Id="rId186" Type="http://schemas.openxmlformats.org/officeDocument/2006/relationships/hyperlink" Target="consultantplus://offline/ref=FD2F4E6DFCB05F3E11A1FACFEA3BFFBBDA736D40255FD760F091B30D2Df7FDM" TargetMode="External"/><Relationship Id="rId351" Type="http://schemas.openxmlformats.org/officeDocument/2006/relationships/image" Target="media/image40.wmf"/><Relationship Id="rId372" Type="http://schemas.openxmlformats.org/officeDocument/2006/relationships/image" Target="media/image61.wmf"/><Relationship Id="rId393" Type="http://schemas.openxmlformats.org/officeDocument/2006/relationships/image" Target="media/image82.wmf"/><Relationship Id="rId407" Type="http://schemas.openxmlformats.org/officeDocument/2006/relationships/image" Target="media/image96.wmf"/><Relationship Id="rId428" Type="http://schemas.openxmlformats.org/officeDocument/2006/relationships/image" Target="media/image117.wmf"/><Relationship Id="rId211" Type="http://schemas.openxmlformats.org/officeDocument/2006/relationships/hyperlink" Target="consultantplus://offline/ref=FD2F4E6DFCB05F3E11A1FACFEA3BFFBBDA756A452F56D760F091B30D2Df7FDM" TargetMode="External"/><Relationship Id="rId232" Type="http://schemas.openxmlformats.org/officeDocument/2006/relationships/hyperlink" Target="consultantplus://offline/ref=FD2F4E6DFCB05F3E11A1FACFEA3BFFBBDA7769432256D760F091B30D2D7DDAB50D880A82CEA21C00fDF7M" TargetMode="External"/><Relationship Id="rId253" Type="http://schemas.openxmlformats.org/officeDocument/2006/relationships/hyperlink" Target="consultantplus://offline/ref=FD2F4E6DFCB05F3E11A1F3D6ED3BFFBBDF7660472E55D760F091B30D2Df7FDM" TargetMode="External"/><Relationship Id="rId274" Type="http://schemas.openxmlformats.org/officeDocument/2006/relationships/hyperlink" Target="consultantplus://offline/ref=FD2F4E6DFCB05F3E11A1FACFEA3BFFBBDA77694E215ED760F091B30D2D7DDAB50D880A86C6A5f1F5M" TargetMode="External"/><Relationship Id="rId295" Type="http://schemas.openxmlformats.org/officeDocument/2006/relationships/hyperlink" Target="consultantplus://offline/ref=780D9B4BAEF53FE3CFA18DAC280958504E7B5499B8BB72D778ED3A467251ADD0591DE5B390759515g4FCM" TargetMode="External"/><Relationship Id="rId309" Type="http://schemas.openxmlformats.org/officeDocument/2006/relationships/hyperlink" Target="consultantplus://offline/ref=780D9B4BAEF53FE3CFA18DAC280958504E7C579BBAB672D778ED3A4672g5F1M" TargetMode="External"/><Relationship Id="rId27" Type="http://schemas.openxmlformats.org/officeDocument/2006/relationships/hyperlink" Target="consultantplus://offline/ref=FD2F4E6DFCB05F3E11A1FACFEA3BFFBBD2716E47275D8A6AF8C8BF0F2A7285A20AC10683CEA21Cf0FCM" TargetMode="External"/><Relationship Id="rId48" Type="http://schemas.openxmlformats.org/officeDocument/2006/relationships/hyperlink" Target="consultantplus://offline/ref=FD2F4E6DFCB05F3E11A1FACFEA3BFFBBDA756A422E51D760F091B30D2D7DDAB50D880A82CEA21C04fDF3M" TargetMode="External"/><Relationship Id="rId69" Type="http://schemas.openxmlformats.org/officeDocument/2006/relationships/hyperlink" Target="consultantplus://offline/ref=FD2F4E6DFCB05F3E11A1FACFEA3BFFBBDA7160442551D760F091B30D2Df7FDM" TargetMode="External"/><Relationship Id="rId113" Type="http://schemas.openxmlformats.org/officeDocument/2006/relationships/hyperlink" Target="consultantplus://offline/ref=FD2F4E6DFCB05F3E11A1FACFEA3BFFBBDA746E4E2452D760F091B30D2Df7FDM" TargetMode="External"/><Relationship Id="rId134" Type="http://schemas.openxmlformats.org/officeDocument/2006/relationships/hyperlink" Target="consultantplus://offline/ref=FD2F4E6DFCB05F3E11A1FACFEA3BFFBBDA746E462452D760F091B30D2Df7FDM" TargetMode="External"/><Relationship Id="rId320" Type="http://schemas.openxmlformats.org/officeDocument/2006/relationships/hyperlink" Target="consultantplus://offline/ref=780D9B4BAEF53FE3CFA18DAC280958504E7C5194BDB972D778ED3A4672g5F1M" TargetMode="External"/><Relationship Id="rId80" Type="http://schemas.openxmlformats.org/officeDocument/2006/relationships/hyperlink" Target="consultantplus://offline/ref=FD2F4E6DFCB05F3E11A1FACFEA3BFFBBD2716E47275D8A6AF8C8BF0F2A7285A20AC10683CEA21Cf0FCM" TargetMode="External"/><Relationship Id="rId155" Type="http://schemas.openxmlformats.org/officeDocument/2006/relationships/hyperlink" Target="consultantplus://offline/ref=FD2F4E6DFCB05F3E11A1FACFEA3BFFBBDA7260422356D760F091B30D2Df7FDM" TargetMode="External"/><Relationship Id="rId176" Type="http://schemas.openxmlformats.org/officeDocument/2006/relationships/hyperlink" Target="consultantplus://offline/ref=FD2F4E6DFCB05F3E11A1FACFEA3BFFBBDA726A472351D760F091B30D2Df7FDM" TargetMode="External"/><Relationship Id="rId197" Type="http://schemas.openxmlformats.org/officeDocument/2006/relationships/hyperlink" Target="consultantplus://offline/ref=FD2F4E6DFCB05F3E11A1FACFEA3BFFBBD2756842225D8A6AF8C8BF0F2A7285A20AC10683CEA21Df0F6M" TargetMode="External"/><Relationship Id="rId341" Type="http://schemas.openxmlformats.org/officeDocument/2006/relationships/image" Target="media/image30.wmf"/><Relationship Id="rId362" Type="http://schemas.openxmlformats.org/officeDocument/2006/relationships/image" Target="media/image51.wmf"/><Relationship Id="rId383" Type="http://schemas.openxmlformats.org/officeDocument/2006/relationships/image" Target="media/image72.wmf"/><Relationship Id="rId418" Type="http://schemas.openxmlformats.org/officeDocument/2006/relationships/image" Target="media/image107.wmf"/><Relationship Id="rId201" Type="http://schemas.openxmlformats.org/officeDocument/2006/relationships/hyperlink" Target="consultantplus://offline/ref=FD2F4E6DFCB05F3E11A1FACFEA3BFFBBDA746F472051D760F091B30D2D7DDAB50D880A82CEA21505fDF5M" TargetMode="External"/><Relationship Id="rId222" Type="http://schemas.openxmlformats.org/officeDocument/2006/relationships/hyperlink" Target="consultantplus://offline/ref=FD2F4E6DFCB05F3E11A1FACFEA3BFFBBDA776943245ED760F091B30D2D7DDAB50D880A82fCF8M" TargetMode="External"/><Relationship Id="rId243" Type="http://schemas.openxmlformats.org/officeDocument/2006/relationships/hyperlink" Target="consultantplus://offline/ref=FD2F4E6DFCB05F3E11A1FACFEA3BFFBBDA7361442255D760F091B30D2Df7FDM" TargetMode="External"/><Relationship Id="rId264" Type="http://schemas.openxmlformats.org/officeDocument/2006/relationships/hyperlink" Target="consultantplus://offline/ref=FD2F4E6DFCB05F3E11A1FACFEA3BFFBBDA756145275ED760F091B30D2Df7FDM" TargetMode="External"/><Relationship Id="rId285" Type="http://schemas.openxmlformats.org/officeDocument/2006/relationships/hyperlink" Target="consultantplus://offline/ref=FD2F4E6DFCB05F3E11A1FACFEA3BFFBBDA756145275ED760F091B30D2Df7FDM" TargetMode="External"/><Relationship Id="rId17" Type="http://schemas.openxmlformats.org/officeDocument/2006/relationships/hyperlink" Target="consultantplus://offline/ref=FD2F4E6DFCB05F3E11A1FACFEA3BFFBBDA75604E215ED760F091B30D2Df7FDM" TargetMode="External"/><Relationship Id="rId38" Type="http://schemas.openxmlformats.org/officeDocument/2006/relationships/hyperlink" Target="consultantplus://offline/ref=FD2F4E6DFCB05F3E11A1FACFEA3BFFBBDA756C422755D760F091B30D2D7DDAB50D880A82CEA21C04fDF3M" TargetMode="External"/><Relationship Id="rId59" Type="http://schemas.openxmlformats.org/officeDocument/2006/relationships/image" Target="media/image6.wmf"/><Relationship Id="rId103" Type="http://schemas.openxmlformats.org/officeDocument/2006/relationships/hyperlink" Target="consultantplus://offline/ref=FD2F4E6DFCB05F3E11A1FACFEA3BFFBBDA746F472153D760F091B30D2Df7FDM" TargetMode="External"/><Relationship Id="rId124" Type="http://schemas.openxmlformats.org/officeDocument/2006/relationships/hyperlink" Target="consultantplus://offline/ref=FD2F4E6DFCB05F3E11A1FACFEA3BFFBBD2776E42265D8A6AF8C8BF0F2A7285A20AC10683CEA21Df0F7M" TargetMode="External"/><Relationship Id="rId310" Type="http://schemas.openxmlformats.org/officeDocument/2006/relationships/hyperlink" Target="consultantplus://offline/ref=780D9B4BAEF53FE3CFA18DAC280958504E7F5699BEB772D778ED3A4672g5F1M" TargetMode="External"/><Relationship Id="rId70" Type="http://schemas.openxmlformats.org/officeDocument/2006/relationships/hyperlink" Target="consultantplus://offline/ref=FD2F4E6DFCB05F3E11A1FACFEA3BFFBBDA756A4E275FD760F091B30D2Df7FDM" TargetMode="External"/><Relationship Id="rId91" Type="http://schemas.openxmlformats.org/officeDocument/2006/relationships/hyperlink" Target="consultantplus://offline/ref=FD2F4E6DFCB05F3E11A1FACFEA3BFFBBDA7569472053D760F091B30D2Df7FDM" TargetMode="External"/><Relationship Id="rId145" Type="http://schemas.openxmlformats.org/officeDocument/2006/relationships/hyperlink" Target="consultantplus://offline/ref=FD2F4E6DFCB05F3E11A1FACFEA3BFFBBDA7768462557D760F091B30D2Df7FDM" TargetMode="External"/><Relationship Id="rId166" Type="http://schemas.openxmlformats.org/officeDocument/2006/relationships/hyperlink" Target="consultantplus://offline/ref=FD2F4E6DFCB05F3E11A1FACFEA3BFFBBDA7361442550D760F091B30D2D7DDAB50D880A82CEA21C04fDF3M" TargetMode="External"/><Relationship Id="rId187" Type="http://schemas.openxmlformats.org/officeDocument/2006/relationships/hyperlink" Target="consultantplus://offline/ref=FD2F4E6DFCB05F3E11A1FACFEA3BFFBBDA726B44225FD760F091B30D2Df7FDM" TargetMode="External"/><Relationship Id="rId331" Type="http://schemas.openxmlformats.org/officeDocument/2006/relationships/image" Target="media/image20.wmf"/><Relationship Id="rId352" Type="http://schemas.openxmlformats.org/officeDocument/2006/relationships/image" Target="media/image41.wmf"/><Relationship Id="rId373" Type="http://schemas.openxmlformats.org/officeDocument/2006/relationships/image" Target="media/image62.wmf"/><Relationship Id="rId394" Type="http://schemas.openxmlformats.org/officeDocument/2006/relationships/image" Target="media/image83.wmf"/><Relationship Id="rId408" Type="http://schemas.openxmlformats.org/officeDocument/2006/relationships/image" Target="media/image97.wmf"/><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FD2F4E6DFCB05F3E11A1FACFEA3BFFBBDA74694E2752D760F091B30D2D7DDAB50D880A82CEA21C0DfDF0M" TargetMode="External"/><Relationship Id="rId233" Type="http://schemas.openxmlformats.org/officeDocument/2006/relationships/hyperlink" Target="consultantplus://offline/ref=FD2F4E6DFCB05F3E11A1FACFEA3BFFBBDA7468462257D760F091B30D2Df7FDM" TargetMode="External"/><Relationship Id="rId254" Type="http://schemas.openxmlformats.org/officeDocument/2006/relationships/hyperlink" Target="consultantplus://offline/ref=FD2F4E6DFCB05F3E11A1F3D6ED3BFFBBDF796B452252D760F091B30D2Df7FDM" TargetMode="External"/><Relationship Id="rId28" Type="http://schemas.openxmlformats.org/officeDocument/2006/relationships/hyperlink" Target="consultantplus://offline/ref=FD2F4E6DFCB05F3E11A1FACFEA3BFFBBD3766E4F235D8A6AF8C8BF0F2A7285A20AC10683CEA21Df0FDM" TargetMode="External"/><Relationship Id="rId49" Type="http://schemas.openxmlformats.org/officeDocument/2006/relationships/hyperlink" Target="consultantplus://offline/ref=FD2F4E6DFCB05F3E11A1FACFEA3BFFBBDA7769472F57D760F091B30D2D7DDAB50D880A82CEA31806fDF0M" TargetMode="External"/><Relationship Id="rId114" Type="http://schemas.openxmlformats.org/officeDocument/2006/relationships/hyperlink" Target="consultantplus://offline/ref=FD2F4E6DFCB05F3E11A1FACFEA3BFFBBDA726A472351D760F091B30D2Df7FDM" TargetMode="External"/><Relationship Id="rId275" Type="http://schemas.openxmlformats.org/officeDocument/2006/relationships/hyperlink" Target="consultantplus://offline/ref=FD2F4E6DFCB05F3E11A1FACFEA3BFFBBDA77694E215ED760F091B30D2D7DDAB50D880A85CAA3f1F8M" TargetMode="External"/><Relationship Id="rId296" Type="http://schemas.openxmlformats.org/officeDocument/2006/relationships/hyperlink" Target="consultantplus://offline/ref=780D9B4BAEF53FE3CFA18DAC280958504E7C5194BEBB72D778ED3A467251ADD0591DE5B390759517g4F3M" TargetMode="External"/><Relationship Id="rId300" Type="http://schemas.openxmlformats.org/officeDocument/2006/relationships/hyperlink" Target="consultantplus://offline/ref=780D9B4BAEF53FE3CFA18DAC280958504E7F579CB8B872D778ED3A4672g5F1M" TargetMode="External"/><Relationship Id="rId60" Type="http://schemas.openxmlformats.org/officeDocument/2006/relationships/image" Target="media/image7.wmf"/><Relationship Id="rId81" Type="http://schemas.openxmlformats.org/officeDocument/2006/relationships/hyperlink" Target="consultantplus://offline/ref=FD2F4E6DFCB05F3E11A1FACFEA3BFFBBD2756147245D8A6AF8C8BF0F2A7285A20AC10683CEA21Df0F4M" TargetMode="External"/><Relationship Id="rId135" Type="http://schemas.openxmlformats.org/officeDocument/2006/relationships/hyperlink" Target="consultantplus://offline/ref=FD2F4E6DFCB05F3E11A1FACFEA3BFFBBDA746E472454D760F091B30D2Df7FDM" TargetMode="External"/><Relationship Id="rId156" Type="http://schemas.openxmlformats.org/officeDocument/2006/relationships/hyperlink" Target="consultantplus://offline/ref=FD2F4E6DFCB05F3E11A1FACFEA3BFFBBDA736F462557D760F091B30D2D7DDAB50D880A82CEA21C06fDF1M" TargetMode="External"/><Relationship Id="rId177" Type="http://schemas.openxmlformats.org/officeDocument/2006/relationships/hyperlink" Target="consultantplus://offline/ref=FD2F4E6DFCB05F3E11A1FACFEA3BFFBBDA7261422550D760F091B30D2D7DDAB50D880A82CEA21C04fDF3M" TargetMode="External"/><Relationship Id="rId198" Type="http://schemas.openxmlformats.org/officeDocument/2006/relationships/hyperlink" Target="consultantplus://offline/ref=FD2F4E6DFCB05F3E11A1FACFEA3BFFBBD2736841265D8A6AF8C8BF0F2A7285A20AC10683CEA21Df0F4M" TargetMode="External"/><Relationship Id="rId321" Type="http://schemas.openxmlformats.org/officeDocument/2006/relationships/hyperlink" Target="consultantplus://offline/ref=780D9B4BAEF53FE3CFA18DAC280958504E7C5194BDB972D778ED3A467251ADD0591DE5B390759414g4F1M" TargetMode="External"/><Relationship Id="rId342" Type="http://schemas.openxmlformats.org/officeDocument/2006/relationships/image" Target="media/image31.wmf"/><Relationship Id="rId363" Type="http://schemas.openxmlformats.org/officeDocument/2006/relationships/image" Target="media/image52.wmf"/><Relationship Id="rId384" Type="http://schemas.openxmlformats.org/officeDocument/2006/relationships/image" Target="media/image73.wmf"/><Relationship Id="rId419" Type="http://schemas.openxmlformats.org/officeDocument/2006/relationships/image" Target="media/image108.wmf"/><Relationship Id="rId202" Type="http://schemas.openxmlformats.org/officeDocument/2006/relationships/hyperlink" Target="consultantplus://offline/ref=FD2F4E6DFCB05F3E11A1FACFEA3BFFBBDA7568432255D760F091B30D2D7DDAB50D880A82CEA21C04fDF3M" TargetMode="External"/><Relationship Id="rId223" Type="http://schemas.openxmlformats.org/officeDocument/2006/relationships/hyperlink" Target="consultantplus://offline/ref=FD2F4E6DFCB05F3E11A1FACFEA3BFFBBDA70614F2257D760F091B30D2Df7FDM" TargetMode="External"/><Relationship Id="rId244" Type="http://schemas.openxmlformats.org/officeDocument/2006/relationships/hyperlink" Target="consultantplus://offline/ref=FD2F4E6DFCB05F3E11A1FACFEA3BFFBBDA756043265FD760F091B30D2Df7FDM" TargetMode="External"/><Relationship Id="rId430" Type="http://schemas.openxmlformats.org/officeDocument/2006/relationships/theme" Target="theme/theme1.xml"/><Relationship Id="rId18" Type="http://schemas.openxmlformats.org/officeDocument/2006/relationships/hyperlink" Target="consultantplus://offline/ref=FD2F4E6DFCB05F3E11A1FACFEA3BFFBBDA716E472355D760F091B30D2D7DDAB50D880A82CEA21C04fDFCM" TargetMode="External"/><Relationship Id="rId39" Type="http://schemas.openxmlformats.org/officeDocument/2006/relationships/hyperlink" Target="consultantplus://offline/ref=FD2F4E6DFCB05F3E11A1FACFEA3BFFBBDA756C472457D760F091B30D2D7DDAB50D880A82CEA21C05fDF4M" TargetMode="External"/><Relationship Id="rId265" Type="http://schemas.openxmlformats.org/officeDocument/2006/relationships/hyperlink" Target="consultantplus://offline/ref=FD2F4E6DFCB05F3E11A1FACFEA3BFFBBDA706E46215ED760F091B30D2Df7FDM" TargetMode="External"/><Relationship Id="rId286" Type="http://schemas.openxmlformats.org/officeDocument/2006/relationships/hyperlink" Target="consultantplus://offline/ref=FD2F4E6DFCB05F3E11A1FACFEA3BFFBBDA7560402F50D760F091B30D2Df7FDM" TargetMode="External"/><Relationship Id="rId50" Type="http://schemas.openxmlformats.org/officeDocument/2006/relationships/hyperlink" Target="consultantplus://offline/ref=FD2F4E6DFCB05F3E11A1FACFEA3BFFBBDA726A472351D760F091B30D2D7DDAB50D880A82CEA21C05fDFCM" TargetMode="External"/><Relationship Id="rId104" Type="http://schemas.openxmlformats.org/officeDocument/2006/relationships/hyperlink" Target="consultantplus://offline/ref=FD2F4E6DFCB05F3E11A1FACFEA3BFFBBDA746043275ED760F091B30D2Df7FDM" TargetMode="External"/><Relationship Id="rId125" Type="http://schemas.openxmlformats.org/officeDocument/2006/relationships/hyperlink" Target="consultantplus://offline/ref=FD2F4E6DFCB05F3E11A1FACFEA3BFFBBD2776E42265D8A6AF8C8BF0F2A7285A20AC10683CEA315f0F7M" TargetMode="External"/><Relationship Id="rId146" Type="http://schemas.openxmlformats.org/officeDocument/2006/relationships/hyperlink" Target="consultantplus://offline/ref=FD2F4E6DFCB05F3E11A1FACFEA3BFFBBDA7369462256D760F091B30D2Df7FDM" TargetMode="External"/><Relationship Id="rId167" Type="http://schemas.openxmlformats.org/officeDocument/2006/relationships/hyperlink" Target="consultantplus://offline/ref=FD2F4E6DFCB05F3E11A1FACFEA3BFFBBDA756145275ED760F091B30D2Df7FDM" TargetMode="External"/><Relationship Id="rId188" Type="http://schemas.openxmlformats.org/officeDocument/2006/relationships/hyperlink" Target="consultantplus://offline/ref=FD2F4E6DFCB05F3E11A1FACFEA3BFFBBDA7561462151D760F091B30D2Df7FDM" TargetMode="External"/><Relationship Id="rId311" Type="http://schemas.openxmlformats.org/officeDocument/2006/relationships/hyperlink" Target="consultantplus://offline/ref=780D9B4BAEF53FE3CFA18DAC280958504E7C5694BDBB72D778ED3A4672g5F1M" TargetMode="External"/><Relationship Id="rId332" Type="http://schemas.openxmlformats.org/officeDocument/2006/relationships/image" Target="media/image21.wmf"/><Relationship Id="rId353" Type="http://schemas.openxmlformats.org/officeDocument/2006/relationships/image" Target="media/image42.wmf"/><Relationship Id="rId374" Type="http://schemas.openxmlformats.org/officeDocument/2006/relationships/image" Target="media/image63.wmf"/><Relationship Id="rId395" Type="http://schemas.openxmlformats.org/officeDocument/2006/relationships/image" Target="media/image84.wmf"/><Relationship Id="rId409" Type="http://schemas.openxmlformats.org/officeDocument/2006/relationships/image" Target="media/image98.wmf"/><Relationship Id="rId71" Type="http://schemas.openxmlformats.org/officeDocument/2006/relationships/hyperlink" Target="consultantplus://offline/ref=FD2F4E6DFCB05F3E11A1FACFEA3BFFBBDA746C4E2E50D760F091B30D2Df7FDM" TargetMode="External"/><Relationship Id="rId92" Type="http://schemas.openxmlformats.org/officeDocument/2006/relationships/hyperlink" Target="consultantplus://offline/ref=FD2F4E6DFCB05F3E11A1FACFEA3BFFBBDA736A402E54D760F091B30D2Df7FDM" TargetMode="External"/><Relationship Id="rId213" Type="http://schemas.openxmlformats.org/officeDocument/2006/relationships/hyperlink" Target="consultantplus://offline/ref=FD2F4E6DFCB05F3E11A1FACFEA3BFFBBDA75604F2F56D760F091B30D2D7DDAB50D880A82CEA21502fDF4M" TargetMode="External"/><Relationship Id="rId234" Type="http://schemas.openxmlformats.org/officeDocument/2006/relationships/hyperlink" Target="consultantplus://offline/ref=FD2F4E6DFCB05F3E11A1FACFEA3BFFBBDA746F442E57D760F091B30D2D7DDAB50D880A82CEA21C05fDF7M" TargetMode="External"/><Relationship Id="rId420"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hyperlink" Target="consultantplus://offline/ref=FD2F4E6DFCB05F3E11A1FACFEA3BFFBBDA7361442255D760F091B30D2Df7FDM" TargetMode="External"/><Relationship Id="rId255" Type="http://schemas.openxmlformats.org/officeDocument/2006/relationships/hyperlink" Target="consultantplus://offline/ref=FD2F4E6DFCB05F3E11A1FACFEA3BFFBBDA746E4E2750D760F091B30D2Df7FDM" TargetMode="External"/><Relationship Id="rId276" Type="http://schemas.openxmlformats.org/officeDocument/2006/relationships/hyperlink" Target="consultantplus://offline/ref=FD2F4E6DFCB05F3E11A1FACFEA3BFFBBDA77694E215ED760F091B30D2D7DDAB50D880A86C7A1f1FBM" TargetMode="External"/><Relationship Id="rId297" Type="http://schemas.openxmlformats.org/officeDocument/2006/relationships/hyperlink" Target="consultantplus://offline/ref=780D9B4BAEF53FE3CFA18DAC280958504E7C5F99BDB772D778ED3A4672g5F1M" TargetMode="External"/><Relationship Id="rId40" Type="http://schemas.openxmlformats.org/officeDocument/2006/relationships/hyperlink" Target="consultantplus://offline/ref=FD2F4E6DFCB05F3E11A1FACFEA3BFFBBDA756B472352D760F091B30D2D7DDAB50D880A82CEA21C04fDF3M" TargetMode="External"/><Relationship Id="rId115" Type="http://schemas.openxmlformats.org/officeDocument/2006/relationships/hyperlink" Target="consultantplus://offline/ref=FD2F4E6DFCB05F3E11A1FACFEA3BFFBBDA726A472351D760F091B30D2Df7FDM" TargetMode="External"/><Relationship Id="rId136" Type="http://schemas.openxmlformats.org/officeDocument/2006/relationships/hyperlink" Target="consultantplus://offline/ref=FD2F4E6DFCB05F3E11A1FACFEA3BFFBBDA746E472454D760F091B30D2Df7FDM" TargetMode="External"/><Relationship Id="rId157" Type="http://schemas.openxmlformats.org/officeDocument/2006/relationships/hyperlink" Target="consultantplus://offline/ref=FD2F4E6DFCB05F3E11A1FACFEA3BFFBBDA756B412056D760F091B30D2D7DDAB50D880A82CEA21C0DfDF1M" TargetMode="External"/><Relationship Id="rId178" Type="http://schemas.openxmlformats.org/officeDocument/2006/relationships/hyperlink" Target="consultantplus://offline/ref=FD2F4E6DFCB05F3E11A1F3D6ED3BFFBBDE706D4E2255D760F091B30D2D7DDAB50D880A82CEA21C04fDFCM" TargetMode="External"/><Relationship Id="rId301" Type="http://schemas.openxmlformats.org/officeDocument/2006/relationships/hyperlink" Target="consultantplus://offline/ref=780D9B4BAEF53FE3CFA18DAC280958504E7F569DB4B972D778ED3A4672g5F1M" TargetMode="External"/><Relationship Id="rId322" Type="http://schemas.openxmlformats.org/officeDocument/2006/relationships/image" Target="media/image11.wmf"/><Relationship Id="rId343" Type="http://schemas.openxmlformats.org/officeDocument/2006/relationships/image" Target="media/image32.wmf"/><Relationship Id="rId364" Type="http://schemas.openxmlformats.org/officeDocument/2006/relationships/image" Target="media/image53.wmf"/><Relationship Id="rId61" Type="http://schemas.openxmlformats.org/officeDocument/2006/relationships/image" Target="media/image8.wmf"/><Relationship Id="rId82" Type="http://schemas.openxmlformats.org/officeDocument/2006/relationships/hyperlink" Target="consultantplus://offline/ref=FD2F4E6DFCB05F3E11A1FACFEA3BFFBBDA71694E2653D760F091B30D2D7DDAB50D880A82CEA21C0CfDF0M" TargetMode="External"/><Relationship Id="rId199" Type="http://schemas.openxmlformats.org/officeDocument/2006/relationships/hyperlink" Target="consultantplus://offline/ref=FD2F4E6DFCB05F3E11A1FACFEA3BFFBBDA7260432355D760F091B30D2D7DDAB50D880A82CEA21C04fDF3M" TargetMode="External"/><Relationship Id="rId203" Type="http://schemas.openxmlformats.org/officeDocument/2006/relationships/hyperlink" Target="consultantplus://offline/ref=FD2F4E6DFCB05F3E11A1FACFEA3BFFBBDA746841205FD760F091B30D2Df7FDM" TargetMode="External"/><Relationship Id="rId385" Type="http://schemas.openxmlformats.org/officeDocument/2006/relationships/image" Target="media/image74.wmf"/><Relationship Id="rId19" Type="http://schemas.openxmlformats.org/officeDocument/2006/relationships/hyperlink" Target="consultantplus://offline/ref=FD2F4E6DFCB05F3E11A1FACFEA3BFFBBDA73614E2156D760F091B30D2Df7FDM" TargetMode="External"/><Relationship Id="rId224" Type="http://schemas.openxmlformats.org/officeDocument/2006/relationships/hyperlink" Target="consultantplus://offline/ref=FD2F4E6DFCB05F3E11A1FACFEA3BFFBBDA74694E2752D760F091B30D2Df7FDM" TargetMode="External"/><Relationship Id="rId245" Type="http://schemas.openxmlformats.org/officeDocument/2006/relationships/hyperlink" Target="consultantplus://offline/ref=FD2F4E6DFCB05F3E11A1FACFEA3BFFBBDA7769432557D760F091B30D2Df7FDM" TargetMode="External"/><Relationship Id="rId266" Type="http://schemas.openxmlformats.org/officeDocument/2006/relationships/hyperlink" Target="consultantplus://offline/ref=FD2F4E6DFCB05F3E11A1FACFEA3BFFBBDA7361442255D760F091B30D2Df7FDM" TargetMode="External"/><Relationship Id="rId287" Type="http://schemas.openxmlformats.org/officeDocument/2006/relationships/hyperlink" Target="consultantplus://offline/ref=FD2F4E6DFCB05F3E11A1FACFEA3BFFBBDA746E4E2750D760F091B30D2Df7FDM" TargetMode="External"/><Relationship Id="rId410" Type="http://schemas.openxmlformats.org/officeDocument/2006/relationships/image" Target="media/image99.wmf"/><Relationship Id="rId30" Type="http://schemas.openxmlformats.org/officeDocument/2006/relationships/hyperlink" Target="consultantplus://offline/ref=FD2F4E6DFCB05F3E11A1FACFEA3BFFBBDA736B432252D760F091B30D2D7DDAB50D880A82CEA21C04fDFDM" TargetMode="External"/><Relationship Id="rId105" Type="http://schemas.openxmlformats.org/officeDocument/2006/relationships/hyperlink" Target="consultantplus://offline/ref=FD2F4E6DFCB05F3E11A1F3D6ED3BFFBBD87869432F55D760F091B30D2Df7FDM" TargetMode="External"/><Relationship Id="rId126" Type="http://schemas.openxmlformats.org/officeDocument/2006/relationships/hyperlink" Target="consultantplus://offline/ref=FD2F4E6DFCB05F3E11A1FACFEA3BFFBBD2776E42265D8A6AF8C8BF0F2A7285A20AC10683CEA01Ff0FDM" TargetMode="External"/><Relationship Id="rId147" Type="http://schemas.openxmlformats.org/officeDocument/2006/relationships/hyperlink" Target="consultantplus://offline/ref=FD2F4E6DFCB05F3E11A1FACFEA3BFFBBDA7369422252D760F091B30D2Df7FDM" TargetMode="External"/><Relationship Id="rId168" Type="http://schemas.openxmlformats.org/officeDocument/2006/relationships/hyperlink" Target="consultantplus://offline/ref=FD2F4E6DFCB05F3E11A1FACFEA3BFFBBD2716E47275D8A6AF8C8BF0F2A7285A20AC10683CEA21Cf0FCM" TargetMode="External"/><Relationship Id="rId312" Type="http://schemas.openxmlformats.org/officeDocument/2006/relationships/hyperlink" Target="consultantplus://offline/ref=780D9B4BAEF53FE3CFA18DAC280958504E7F569DB5BE72D778ED3A467251ADD0591DE5B390749117g4F1M" TargetMode="External"/><Relationship Id="rId333" Type="http://schemas.openxmlformats.org/officeDocument/2006/relationships/image" Target="media/image22.wmf"/><Relationship Id="rId354" Type="http://schemas.openxmlformats.org/officeDocument/2006/relationships/image" Target="media/image43.wmf"/><Relationship Id="rId51" Type="http://schemas.openxmlformats.org/officeDocument/2006/relationships/hyperlink" Target="consultantplus://offline/ref=FD2F4E6DFCB05F3E11A1F3D6ED3BFFBBDE7060442456D760F091B30D2D7DDAB50D880A82CEA21C04fDF6M" TargetMode="External"/><Relationship Id="rId72" Type="http://schemas.openxmlformats.org/officeDocument/2006/relationships/hyperlink" Target="consultantplus://offline/ref=FD2F4E6DFCB05F3E11A1FACFEA3BFFBBDA71684F265ED760F091B30D2Df7FDM" TargetMode="External"/><Relationship Id="rId93" Type="http://schemas.openxmlformats.org/officeDocument/2006/relationships/hyperlink" Target="consultantplus://offline/ref=FD2F4E6DFCB05F3E11A1FACFEA3BFFBBDA776846255ED760F091B30D2Df7FDM" TargetMode="External"/><Relationship Id="rId189" Type="http://schemas.openxmlformats.org/officeDocument/2006/relationships/hyperlink" Target="consultantplus://offline/ref=FD2F4E6DFCB05F3E11A1FACFEA3BFFBBDA726B452151D760F091B30D2Df7FDM" TargetMode="External"/><Relationship Id="rId375" Type="http://schemas.openxmlformats.org/officeDocument/2006/relationships/image" Target="media/image64.wmf"/><Relationship Id="rId396" Type="http://schemas.openxmlformats.org/officeDocument/2006/relationships/image" Target="media/image85.wmf"/><Relationship Id="rId3" Type="http://schemas.microsoft.com/office/2007/relationships/stylesWithEffects" Target="stylesWithEffects.xml"/><Relationship Id="rId214" Type="http://schemas.openxmlformats.org/officeDocument/2006/relationships/hyperlink" Target="consultantplus://offline/ref=FD2F4E6DFCB05F3E11A1FACFEA3BFFBBDA74694E2752D760F091B30D2Df7FDM" TargetMode="External"/><Relationship Id="rId235" Type="http://schemas.openxmlformats.org/officeDocument/2006/relationships/hyperlink" Target="consultantplus://offline/ref=FD2F4E6DFCB05F3E11A1FACFEA3BFFBBDA746F442E54D760F091B30D2D7DDAB50D880A82CEA21C05fDFDM" TargetMode="External"/><Relationship Id="rId256" Type="http://schemas.openxmlformats.org/officeDocument/2006/relationships/hyperlink" Target="consultantplus://offline/ref=FD2F4E6DFCB05F3E11A1FACFEA3BFFBBDA746E4E2750D760F091B30D2Df7FDM" TargetMode="External"/><Relationship Id="rId277" Type="http://schemas.openxmlformats.org/officeDocument/2006/relationships/hyperlink" Target="consultantplus://offline/ref=FD2F4E6DFCB05F3E11A1FACFEA3BFFBBDA77694E215ED760F091B30D2D7DDAB50D880A85C9A1f1FFM" TargetMode="External"/><Relationship Id="rId298" Type="http://schemas.openxmlformats.org/officeDocument/2006/relationships/hyperlink" Target="consultantplus://offline/ref=780D9B4BAEF53FE3CFA18DAC280958504E7F569BBEBF72D778ED3A467251ADD0591DE5B390759617g4F0M" TargetMode="External"/><Relationship Id="rId400" Type="http://schemas.openxmlformats.org/officeDocument/2006/relationships/image" Target="media/image89.wmf"/><Relationship Id="rId421" Type="http://schemas.openxmlformats.org/officeDocument/2006/relationships/image" Target="media/image110.wmf"/><Relationship Id="rId116" Type="http://schemas.openxmlformats.org/officeDocument/2006/relationships/hyperlink" Target="consultantplus://offline/ref=FD2F4E6DFCB05F3E11A1FACFEA3BFFBBDA75604E2F5ED760F091B30D2D7DDAB50D880A80C9A3f1F9M" TargetMode="External"/><Relationship Id="rId137" Type="http://schemas.openxmlformats.org/officeDocument/2006/relationships/hyperlink" Target="consultantplus://offline/ref=FD2F4E6DFCB05F3E11A1FACFEA3BFFBBDA746E462452D760F091B30D2Df7FDM" TargetMode="External"/><Relationship Id="rId158" Type="http://schemas.openxmlformats.org/officeDocument/2006/relationships/hyperlink" Target="consultantplus://offline/ref=FD2F4E6DFCB05F3E11A1FACFEA3BFFBBDA716E472355D760F091B30D2D7DDAB50D880A82CEA21C04fDFCM" TargetMode="External"/><Relationship Id="rId302" Type="http://schemas.openxmlformats.org/officeDocument/2006/relationships/hyperlink" Target="consultantplus://offline/ref=780D9B4BAEF53FE3CFA18DAC280958504E7D5195BFBF72D778ED3A467251ADD0591DE5B390759116g4FCM" TargetMode="External"/><Relationship Id="rId323" Type="http://schemas.openxmlformats.org/officeDocument/2006/relationships/image" Target="media/image12.wmf"/><Relationship Id="rId344" Type="http://schemas.openxmlformats.org/officeDocument/2006/relationships/image" Target="media/image33.wmf"/><Relationship Id="rId20" Type="http://schemas.openxmlformats.org/officeDocument/2006/relationships/hyperlink" Target="consultantplus://offline/ref=FD2F4E6DFCB05F3E11A1FACFEA3BFFBBDA7461402E52D760F091B30D2D7DDAB50D880A82CEA21C06fDF1M" TargetMode="External"/><Relationship Id="rId41" Type="http://schemas.openxmlformats.org/officeDocument/2006/relationships/hyperlink" Target="consultantplus://offline/ref=FD2F4E6DFCB05F3E11A1FACFEA3BFFBBDA756A422E51D760F091B30D2D7DDAB50D880A82CEA21C04fDF3M" TargetMode="External"/><Relationship Id="rId62" Type="http://schemas.openxmlformats.org/officeDocument/2006/relationships/hyperlink" Target="consultantplus://offline/ref=FD2F4E6DFCB05F3E11A1FACFEA3BFFBBD2716E47275D8A6AF8C8BF0F2A7285A20AC10683CEA21Cf0FCM" TargetMode="External"/><Relationship Id="rId83" Type="http://schemas.openxmlformats.org/officeDocument/2006/relationships/hyperlink" Target="consultantplus://offline/ref=FD2F4E6DFCB05F3E11A1FACFEA3BFFBBDA746E422F51D760F091B30D2Df7FDM" TargetMode="External"/><Relationship Id="rId179" Type="http://schemas.openxmlformats.org/officeDocument/2006/relationships/hyperlink" Target="consultantplus://offline/ref=FD2F4E6DFCB05F3E11A1FACFEA3BFFBBDA746D4E2555D760F091B30D2D7DDAB50D880A82CEA21C01fDF4M" TargetMode="External"/><Relationship Id="rId365" Type="http://schemas.openxmlformats.org/officeDocument/2006/relationships/image" Target="media/image54.wmf"/><Relationship Id="rId386" Type="http://schemas.openxmlformats.org/officeDocument/2006/relationships/image" Target="media/image75.wmf"/><Relationship Id="rId190" Type="http://schemas.openxmlformats.org/officeDocument/2006/relationships/hyperlink" Target="consultantplus://offline/ref=FD2F4E6DFCB05F3E11A1FACFEA3BFFBBDA726B44225FD760F091B30D2Df7FDM" TargetMode="External"/><Relationship Id="rId204" Type="http://schemas.openxmlformats.org/officeDocument/2006/relationships/hyperlink" Target="consultantplus://offline/ref=FD2F4E6DFCB05F3E11A1FACFEA3BFFBBDA746D4E2555D760F091B30D2Df7FDM" TargetMode="External"/><Relationship Id="rId225" Type="http://schemas.openxmlformats.org/officeDocument/2006/relationships/hyperlink" Target="consultantplus://offline/ref=FD2F4E6DFCB05F3E11A1FACFEA3BFFBBDA7361442255D760F091B30D2Df7FDM" TargetMode="External"/><Relationship Id="rId246" Type="http://schemas.openxmlformats.org/officeDocument/2006/relationships/hyperlink" Target="consultantplus://offline/ref=FD2F4E6DFCB05F3E11A1FACFEA3BFFBBDA7560402052D760F091B30D2Df7FDM" TargetMode="External"/><Relationship Id="rId267" Type="http://schemas.openxmlformats.org/officeDocument/2006/relationships/hyperlink" Target="consultantplus://offline/ref=FD2F4E6DFCB05F3E11A1FACFEA3BFFBBDA746E4E2750D760F091B30D2Df7FDM" TargetMode="External"/><Relationship Id="rId288" Type="http://schemas.openxmlformats.org/officeDocument/2006/relationships/hyperlink" Target="consultantplus://offline/ref=780D9B4BAEF53FE3CFA18DAC280958504E7D5F9AB8B872D778ED3A4672g5F1M" TargetMode="External"/><Relationship Id="rId411" Type="http://schemas.openxmlformats.org/officeDocument/2006/relationships/image" Target="media/image100.wmf"/><Relationship Id="rId106" Type="http://schemas.openxmlformats.org/officeDocument/2006/relationships/hyperlink" Target="consultantplus://offline/ref=FD2F4E6DFCB05F3E11A1FACFEA3BFFBBDA746F472551D760F091B30D2Df7FDM" TargetMode="External"/><Relationship Id="rId127" Type="http://schemas.openxmlformats.org/officeDocument/2006/relationships/hyperlink" Target="consultantplus://offline/ref=FD2F4E6DFCB05F3E11A1FACFEA3BFFBBD2776E42265D8A6AF8C8BF0F2A7285A20AC10683CEA21Df0F7M" TargetMode="External"/><Relationship Id="rId313" Type="http://schemas.openxmlformats.org/officeDocument/2006/relationships/hyperlink" Target="consultantplus://offline/ref=780D9B4BAEF53FE3CFA18DAC280958504E7D519CBDB772D778ED3A4672g5F1M" TargetMode="External"/><Relationship Id="rId10" Type="http://schemas.openxmlformats.org/officeDocument/2006/relationships/hyperlink" Target="consultantplus://offline/ref=FD2F4E6DFCB05F3E11A1FACFEA3BFFBBDA706F462F55D760F091B30D2Df7FDM" TargetMode="External"/><Relationship Id="rId31" Type="http://schemas.openxmlformats.org/officeDocument/2006/relationships/hyperlink" Target="consultantplus://offline/ref=FD2F4E6DFCB05F3E11A1FACFEA3BFFBBDA7361442550D760F091B30D2Df7FDM" TargetMode="External"/><Relationship Id="rId52" Type="http://schemas.openxmlformats.org/officeDocument/2006/relationships/hyperlink" Target="consultantplus://offline/ref=FD2F4E6DFCB05F3E11A1FACFEA3BFFBBDA756B412E5FD760F091B30D2D7DDAB50D880A82CEA21C04fDFDM" TargetMode="External"/><Relationship Id="rId73" Type="http://schemas.openxmlformats.org/officeDocument/2006/relationships/hyperlink" Target="consultantplus://offline/ref=FD2F4E6DFCB05F3E11A1FACFEA3BFFBBDA71684F265ED760F091B30D2Df7FDM" TargetMode="External"/><Relationship Id="rId94" Type="http://schemas.openxmlformats.org/officeDocument/2006/relationships/hyperlink" Target="consultantplus://offline/ref=FD2F4E6DFCB05F3E11A1FACFEA3BFFBBDA7560422356D760F091B30D2Df7FDM" TargetMode="External"/><Relationship Id="rId148" Type="http://schemas.openxmlformats.org/officeDocument/2006/relationships/hyperlink" Target="consultantplus://offline/ref=FD2F4E6DFCB05F3E11A1FFC0E93BFFBBDC746A452D008062A1C4BDf0F8M" TargetMode="External"/><Relationship Id="rId169" Type="http://schemas.openxmlformats.org/officeDocument/2006/relationships/hyperlink" Target="consultantplus://offline/ref=FD2F4E6DFCB05F3E11A1FACFEA3BFFBBDA736B432252D760F091B30D2D7DDAB50D880A82CEA21C04fDFDM" TargetMode="External"/><Relationship Id="rId334" Type="http://schemas.openxmlformats.org/officeDocument/2006/relationships/image" Target="media/image23.wmf"/><Relationship Id="rId355" Type="http://schemas.openxmlformats.org/officeDocument/2006/relationships/image" Target="media/image44.wmf"/><Relationship Id="rId376" Type="http://schemas.openxmlformats.org/officeDocument/2006/relationships/image" Target="media/image65.wmf"/><Relationship Id="rId397" Type="http://schemas.openxmlformats.org/officeDocument/2006/relationships/image" Target="media/image86.wmf"/><Relationship Id="rId4" Type="http://schemas.openxmlformats.org/officeDocument/2006/relationships/settings" Target="settings.xml"/><Relationship Id="rId180" Type="http://schemas.openxmlformats.org/officeDocument/2006/relationships/hyperlink" Target="consultantplus://offline/ref=FD2F4E6DFCB05F3E11A1FACFEA3BFFBBDA746841205FD760F091B30D2Df7FDM" TargetMode="External"/><Relationship Id="rId215" Type="http://schemas.openxmlformats.org/officeDocument/2006/relationships/hyperlink" Target="consultantplus://offline/ref=FD2F4E6DFCB05F3E11A1F3D6ED3BFFBBD8766B412154D760F091B30D2Df7FDM" TargetMode="External"/><Relationship Id="rId236" Type="http://schemas.openxmlformats.org/officeDocument/2006/relationships/hyperlink" Target="consultantplus://offline/ref=FD2F4E6DFCB05F3E11A1FACFEA3BFFBBDA7361442255D760F091B30D2Df7FDM" TargetMode="External"/><Relationship Id="rId257" Type="http://schemas.openxmlformats.org/officeDocument/2006/relationships/hyperlink" Target="consultantplus://offline/ref=FD2F4E6DFCB05F3E11A1FACFEA3BFFBBDA7468472F54D760F091B30D2Df7FDM" TargetMode="External"/><Relationship Id="rId278" Type="http://schemas.openxmlformats.org/officeDocument/2006/relationships/hyperlink" Target="consultantplus://offline/ref=FD2F4E6DFCB05F3E11A1FACFEA3BFFBBDA77694E215ED760F091B30D2D7DDAB50D880A84CDA2f1FBM" TargetMode="External"/><Relationship Id="rId401" Type="http://schemas.openxmlformats.org/officeDocument/2006/relationships/image" Target="media/image90.wmf"/><Relationship Id="rId422" Type="http://schemas.openxmlformats.org/officeDocument/2006/relationships/image" Target="media/image111.wmf"/><Relationship Id="rId303" Type="http://schemas.openxmlformats.org/officeDocument/2006/relationships/hyperlink" Target="consultantplus://offline/ref=780D9B4BAEF53FE3CFA18DAC280958504E7D5195BFBF72D778ED3A467251ADD0591DE5B390759111g4F4M" TargetMode="External"/><Relationship Id="rId42" Type="http://schemas.openxmlformats.org/officeDocument/2006/relationships/hyperlink" Target="consultantplus://offline/ref=FD2F4E6DFCB05F3E11A1FACFEA3BFFBBDA7568452357D760F091B30D2D7DDAB50D880A82CEA21C04fDFCM" TargetMode="External"/><Relationship Id="rId84" Type="http://schemas.openxmlformats.org/officeDocument/2006/relationships/hyperlink" Target="consultantplus://offline/ref=FD2F4E6DFCB05F3E11A1FACFEA3BFFBBDA7561432555D760F091B30D2Df7FDM" TargetMode="External"/><Relationship Id="rId138" Type="http://schemas.openxmlformats.org/officeDocument/2006/relationships/hyperlink" Target="consultantplus://offline/ref=FD2F4E6DFCB05F3E11A1FACFEA3BFFBBDA72614F2055D760F091B30D2Df7FDM" TargetMode="External"/><Relationship Id="rId345" Type="http://schemas.openxmlformats.org/officeDocument/2006/relationships/image" Target="media/image34.wmf"/><Relationship Id="rId387" Type="http://schemas.openxmlformats.org/officeDocument/2006/relationships/image" Target="media/image76.wmf"/><Relationship Id="rId191" Type="http://schemas.openxmlformats.org/officeDocument/2006/relationships/hyperlink" Target="consultantplus://offline/ref=FD2F4E6DFCB05F3E11A1FACFEA3BFFBBDA7561462151D760F091B30D2Df7FDM" TargetMode="External"/><Relationship Id="rId205" Type="http://schemas.openxmlformats.org/officeDocument/2006/relationships/hyperlink" Target="consultantplus://offline/ref=FD2F4E6DFCB05F3E11A1FACFEA3BFFBBDA756B472352D760F091B30D2D7DDAB50D880A82CEA21C04fDF3M" TargetMode="External"/><Relationship Id="rId247" Type="http://schemas.openxmlformats.org/officeDocument/2006/relationships/hyperlink" Target="consultantplus://offline/ref=FD2F4E6DFCB05F3E11A1FACFEA3BFFBBDC706E40255D8A6AF8C8BF0F2A7285A20AC10683CEA21Df0F0M" TargetMode="External"/><Relationship Id="rId412" Type="http://schemas.openxmlformats.org/officeDocument/2006/relationships/image" Target="media/image101.wmf"/><Relationship Id="rId107" Type="http://schemas.openxmlformats.org/officeDocument/2006/relationships/hyperlink" Target="consultantplus://offline/ref=FD2F4E6DFCB05F3E11A1FACFEA3BFFBBDA746F472551D760F091B30D2Df7FDM" TargetMode="External"/><Relationship Id="rId289" Type="http://schemas.openxmlformats.org/officeDocument/2006/relationships/image" Target="media/image9.wmf"/><Relationship Id="rId11" Type="http://schemas.openxmlformats.org/officeDocument/2006/relationships/hyperlink" Target="consultantplus://offline/ref=FD2F4E6DFCB05F3E11A1FACFEA3BFFBBDA736B432252D760F091B30D2D7DDAB50D880A82CEA21C04fDFDM" TargetMode="External"/><Relationship Id="rId53" Type="http://schemas.openxmlformats.org/officeDocument/2006/relationships/hyperlink" Target="consultantplus://offline/ref=FD2F4E6DFCB05F3E11A1FACFEA3BFFBBDA7560412553D760F091B30D2D7DDAB50D880A82CEA21C04fDF3M" TargetMode="External"/><Relationship Id="rId149" Type="http://schemas.openxmlformats.org/officeDocument/2006/relationships/hyperlink" Target="consultantplus://offline/ref=FD2F4E6DFCB05F3E11A1FACFEA3BFFBBDA746E4E245FD760F091B30D2Df7FDM" TargetMode="External"/><Relationship Id="rId314" Type="http://schemas.openxmlformats.org/officeDocument/2006/relationships/hyperlink" Target="consultantplus://offline/ref=780D9B4BAEF53FE3CFA18DAC280958504E7C5394B4B972D778ED3A4672g5F1M" TargetMode="External"/><Relationship Id="rId356" Type="http://schemas.openxmlformats.org/officeDocument/2006/relationships/image" Target="media/image45.wmf"/><Relationship Id="rId398" Type="http://schemas.openxmlformats.org/officeDocument/2006/relationships/image" Target="media/image87.wmf"/><Relationship Id="rId95" Type="http://schemas.openxmlformats.org/officeDocument/2006/relationships/hyperlink" Target="consultantplus://offline/ref=FD2F4E6DFCB05F3E11A1FACFEA3BFFBBDA77694E2E50D760F091B30D2Df7FDM" TargetMode="External"/><Relationship Id="rId160" Type="http://schemas.openxmlformats.org/officeDocument/2006/relationships/hyperlink" Target="consultantplus://offline/ref=FD2F4E6DFCB05F3E11A1FACFEA3BFFBBDA73614E2156D760F091B30D2Df7FDM" TargetMode="External"/><Relationship Id="rId216" Type="http://schemas.openxmlformats.org/officeDocument/2006/relationships/hyperlink" Target="consultantplus://offline/ref=FD2F4E6DFCB05F3E11A1FACFEA3BFFBBDA776943245ED760F091B30D2Df7FDM" TargetMode="External"/><Relationship Id="rId423" Type="http://schemas.openxmlformats.org/officeDocument/2006/relationships/image" Target="media/image112.wmf"/><Relationship Id="rId258" Type="http://schemas.openxmlformats.org/officeDocument/2006/relationships/hyperlink" Target="consultantplus://offline/ref=FD2F4E6DFCB05F3E11A1FACFEA3BFFBBDA746E4E2750D760F091B30D2Df7FDM" TargetMode="External"/><Relationship Id="rId22" Type="http://schemas.openxmlformats.org/officeDocument/2006/relationships/hyperlink" Target="consultantplus://offline/ref=FD2F4E6DFCB05F3E11A1FACFEA3BFFBBDA7769432557D760F091B30D2Df7FDM" TargetMode="External"/><Relationship Id="rId64" Type="http://schemas.openxmlformats.org/officeDocument/2006/relationships/hyperlink" Target="consultantplus://offline/ref=FD2F4E6DFCB05F3E11A1FACFEA3BFFBBDA7361402F50D760F091B30D2D7DDAB50D880A82CEA21C04fDF2M" TargetMode="External"/><Relationship Id="rId118" Type="http://schemas.openxmlformats.org/officeDocument/2006/relationships/hyperlink" Target="consultantplus://offline/ref=FD2F4E6DFCB05F3E11A1FACFEA3BFFBBDA73614E235FD760F091B30D2Df7FDM" TargetMode="External"/><Relationship Id="rId325" Type="http://schemas.openxmlformats.org/officeDocument/2006/relationships/image" Target="media/image14.wmf"/><Relationship Id="rId367"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35DC-3326-4DC3-8EC6-C0D0D8A8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527</Pages>
  <Words>200081</Words>
  <Characters>1140464</Characters>
  <Application>Microsoft Office Word</Application>
  <DocSecurity>0</DocSecurity>
  <Lines>9503</Lines>
  <Paragraphs>2675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Грициняк Ксения Александровна</dc:creator>
  <cp:lastModifiedBy>Грициняк Ксения Александровна</cp:lastModifiedBy>
  <cp:revision>4</cp:revision>
  <dcterms:created xsi:type="dcterms:W3CDTF">2014-06-17T12:05:00Z</dcterms:created>
  <dcterms:modified xsi:type="dcterms:W3CDTF">2014-06-17T12:19:00Z</dcterms:modified>
</cp:coreProperties>
</file>