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43" w:rsidRPr="00D51697" w:rsidRDefault="00236443" w:rsidP="00236443">
      <w:pPr>
        <w:pStyle w:val="ZAGG"/>
        <w:pageBreakBefore/>
        <w:spacing w:after="60"/>
        <w:rPr>
          <w:b w:val="0"/>
          <w:bCs w:val="0"/>
          <w:caps w:val="0"/>
          <w:color w:val="auto"/>
          <w:sz w:val="14"/>
          <w:szCs w:val="14"/>
        </w:rPr>
      </w:pPr>
      <w:r w:rsidRPr="00402A4F">
        <w:rPr>
          <w:color w:val="auto"/>
        </w:rPr>
        <w:t>10.2.</w:t>
      </w:r>
      <w:r w:rsidRPr="00E57F8C">
        <w:rPr>
          <w:color w:val="auto"/>
        </w:rPr>
        <w:t xml:space="preserve"> СТРУКТУРА основных фондов (средств)  </w:t>
      </w:r>
      <w:r w:rsidRPr="00E57F8C">
        <w:rPr>
          <w:color w:val="auto"/>
        </w:rPr>
        <w:br/>
        <w:t>по видам экономической деятельности</w:t>
      </w:r>
      <w:r w:rsidRPr="003F1457">
        <w:rPr>
          <w:strike/>
          <w:color w:val="FF0000"/>
        </w:rPr>
        <w:br/>
      </w:r>
      <w:r w:rsidRPr="00D51697">
        <w:rPr>
          <w:b w:val="0"/>
          <w:bCs w:val="0"/>
          <w:caps w:val="0"/>
          <w:color w:val="auto"/>
          <w:sz w:val="14"/>
          <w:szCs w:val="14"/>
        </w:rPr>
        <w:t>(на конец года; в процентах к итогу; по полной учетной стоимости)</w:t>
      </w:r>
    </w:p>
    <w:tbl>
      <w:tblPr>
        <w:tblW w:w="5000" w:type="pct"/>
        <w:tblBorders>
          <w:top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912"/>
        <w:gridCol w:w="912"/>
        <w:gridCol w:w="912"/>
      </w:tblGrid>
      <w:tr w:rsidR="00236443" w:rsidRPr="003F1457" w:rsidTr="00273F58">
        <w:trPr>
          <w:cantSplit/>
          <w:trHeight w:val="20"/>
        </w:trPr>
        <w:tc>
          <w:tcPr>
            <w:tcW w:w="291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443" w:rsidRPr="003F1457" w:rsidRDefault="00236443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443" w:rsidRPr="003F1457" w:rsidRDefault="00236443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443" w:rsidRPr="003F1457" w:rsidRDefault="00236443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Все основные фонды (средства) 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100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100</w:t>
            </w:r>
          </w:p>
        </w:tc>
      </w:tr>
      <w:tr w:rsidR="00236443" w:rsidRPr="003F1457" w:rsidTr="00273F58">
        <w:trPr>
          <w:cantSplit/>
          <w:trHeight w:val="326"/>
        </w:trPr>
        <w:tc>
          <w:tcPr>
            <w:tcW w:w="2918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в том числе по видам экономической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деятельности: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сельское, лесное хозяйство, охота, рыболовство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F1457">
              <w:rPr>
                <w:rFonts w:ascii="Arial" w:hAnsi="Arial" w:cs="Arial"/>
                <w:sz w:val="14"/>
                <w:szCs w:val="14"/>
              </w:rPr>
              <w:t>и рыбоводство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10,8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10,5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10,6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A36A2A">
              <w:rPr>
                <w:rFonts w:ascii="Arial" w:hAnsi="Arial" w:cs="Arial"/>
                <w:sz w:val="14"/>
                <w:szCs w:val="14"/>
              </w:rPr>
              <w:t>,0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8,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6,5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обеспечение электрической энергией, газом и паром,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694" w:type="pct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10,5</w:t>
            </w:r>
          </w:p>
        </w:tc>
        <w:tc>
          <w:tcPr>
            <w:tcW w:w="694" w:type="pct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94" w:type="pct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694" w:type="pct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94" w:type="pct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водоснабжение, водоотведение, организация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 xml:space="preserve">сбора и утилизация отходов, деятельность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236443" w:rsidRPr="00484F7F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розничная; ремонт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 xml:space="preserve">автотранспортных средств, мотоциклов 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4,3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8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12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15,0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15,</w:t>
            </w:r>
            <w:r w:rsidRPr="00A36A2A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</w:tr>
    </w:tbl>
    <w:p w:rsidR="00236443" w:rsidRPr="00484F7F" w:rsidRDefault="00236443" w:rsidP="00236443">
      <w:pPr>
        <w:spacing w:after="40"/>
        <w:jc w:val="right"/>
        <w:rPr>
          <w:rFonts w:ascii="Arial" w:hAnsi="Arial" w:cs="Arial"/>
          <w:sz w:val="14"/>
          <w:szCs w:val="14"/>
          <w:highlight w:val="yellow"/>
        </w:rPr>
      </w:pPr>
    </w:p>
    <w:p w:rsidR="00236443" w:rsidRPr="00B03513" w:rsidRDefault="00236443" w:rsidP="00236443">
      <w:pPr>
        <w:pageBreakBefore/>
        <w:spacing w:after="6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03513">
        <w:rPr>
          <w:rFonts w:ascii="Arial" w:hAnsi="Arial" w:cs="Arial"/>
          <w:color w:val="000000" w:themeColor="text1"/>
          <w:sz w:val="14"/>
          <w:szCs w:val="14"/>
        </w:rPr>
        <w:lastRenderedPageBreak/>
        <w:t>Продолжение табл. 10.2</w:t>
      </w:r>
    </w:p>
    <w:tbl>
      <w:tblPr>
        <w:tblW w:w="5000" w:type="pct"/>
        <w:tblBorders>
          <w:top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913"/>
        <w:gridCol w:w="913"/>
        <w:gridCol w:w="915"/>
      </w:tblGrid>
      <w:tr w:rsidR="00236443" w:rsidRPr="003F1457" w:rsidTr="00273F58">
        <w:trPr>
          <w:cantSplit/>
          <w:trHeight w:val="20"/>
        </w:trPr>
        <w:tc>
          <w:tcPr>
            <w:tcW w:w="291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60" w:after="60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деятельность гостиниц и предприятий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общественного  питания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0,6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D3D5F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D3D5F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4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деятельность в области информации  и связи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D3D5F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D3D5F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D3D5F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D3D5F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D3D5F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4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D3D5F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20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D3D5F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D3D5F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236443" w:rsidRPr="003F1457" w:rsidTr="00273F58">
        <w:trPr>
          <w:cantSplit/>
          <w:trHeight w:val="20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  <w:hideMark/>
          </w:tcPr>
          <w:p w:rsidR="00236443" w:rsidRPr="003F1457" w:rsidRDefault="00236443" w:rsidP="00273F58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деятельность по операциям с недвижимым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имуществом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12,6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484F7F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484F7F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484F7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46,8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45,6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деятельность профессиональная,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научная и техническая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деятельность административная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0,6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 xml:space="preserve">и обеспечение военной безопасности;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социальное обеспечение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3,8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деятельность в области здравоохранения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tcBorders>
              <w:bottom w:val="nil"/>
            </w:tcBorders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 xml:space="preserve">деятельность в области культуры, спорта, </w:t>
            </w:r>
            <w:r w:rsidRPr="003F1457">
              <w:rPr>
                <w:rFonts w:ascii="Arial" w:hAnsi="Arial" w:cs="Arial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tcBorders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tcBorders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tcBorders>
              <w:bottom w:val="nil"/>
            </w:tcBorders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tcBorders>
              <w:bottom w:val="nil"/>
            </w:tcBorders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443" w:rsidRPr="003F1457" w:rsidTr="00273F58">
        <w:trPr>
          <w:cantSplit/>
          <w:trHeight w:val="175"/>
        </w:trPr>
        <w:tc>
          <w:tcPr>
            <w:tcW w:w="29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6443" w:rsidRPr="003F1457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3F14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236443" w:rsidRPr="00484F7F" w:rsidTr="00273F58">
        <w:trPr>
          <w:cantSplit/>
          <w:trHeight w:val="175"/>
        </w:trPr>
        <w:tc>
          <w:tcPr>
            <w:tcW w:w="2914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6443" w:rsidRPr="00484F7F" w:rsidRDefault="00236443" w:rsidP="00273F58">
            <w:pPr>
              <w:spacing w:before="60"/>
              <w:ind w:left="227"/>
              <w:rPr>
                <w:sz w:val="14"/>
                <w:szCs w:val="14"/>
              </w:rPr>
            </w:pPr>
            <w:r w:rsidRPr="00484F7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6443" w:rsidRPr="00B03513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96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6443" w:rsidRPr="00A36A2A" w:rsidRDefault="00236443" w:rsidP="00273F58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6A2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</w:tbl>
    <w:p w:rsidR="00236443" w:rsidRPr="00B03513" w:rsidRDefault="00236443" w:rsidP="00236443">
      <w:pPr>
        <w:spacing w:before="60"/>
        <w:ind w:left="113" w:hanging="113"/>
        <w:jc w:val="both"/>
        <w:rPr>
          <w:sz w:val="12"/>
          <w:szCs w:val="12"/>
        </w:rPr>
      </w:pPr>
      <w:r w:rsidRPr="00B03513">
        <w:rPr>
          <w:rFonts w:ascii="Arial" w:hAnsi="Arial" w:cs="Arial"/>
          <w:sz w:val="12"/>
          <w:szCs w:val="12"/>
          <w:vertAlign w:val="superscript"/>
        </w:rPr>
        <w:t>1)</w:t>
      </w:r>
      <w:r w:rsidRPr="00B03513">
        <w:rPr>
          <w:rFonts w:ascii="Arial" w:hAnsi="Arial" w:cs="Arial"/>
          <w:sz w:val="12"/>
          <w:szCs w:val="12"/>
        </w:rPr>
        <w:t xml:space="preserve"> С 2019 г. жилые и нежилые здания, находящиеся в собственности домашних хозяйств, учитываются </w:t>
      </w:r>
      <w:r w:rsidRPr="00B03513">
        <w:rPr>
          <w:rFonts w:ascii="Arial" w:hAnsi="Arial" w:cs="Arial"/>
          <w:sz w:val="12"/>
          <w:szCs w:val="12"/>
        </w:rPr>
        <w:br/>
        <w:t xml:space="preserve">по кадастровой стоимости, определяемой органами </w:t>
      </w:r>
      <w:proofErr w:type="spellStart"/>
      <w:r w:rsidRPr="00B03513">
        <w:rPr>
          <w:rFonts w:ascii="Arial" w:hAnsi="Arial" w:cs="Arial"/>
          <w:sz w:val="12"/>
          <w:szCs w:val="12"/>
        </w:rPr>
        <w:t>Росреестра</w:t>
      </w:r>
      <w:proofErr w:type="spellEnd"/>
      <w:r w:rsidRPr="00B03513">
        <w:rPr>
          <w:rFonts w:ascii="Arial" w:hAnsi="Arial" w:cs="Arial"/>
          <w:sz w:val="12"/>
          <w:szCs w:val="12"/>
        </w:rPr>
        <w:t xml:space="preserve"> в целях налогообложения имущества физических лиц.</w:t>
      </w:r>
    </w:p>
    <w:p w:rsidR="007C03A1" w:rsidRPr="00F05CAC" w:rsidRDefault="007C03A1" w:rsidP="00F05CAC">
      <w:bookmarkStart w:id="0" w:name="_GoBack"/>
      <w:bookmarkEnd w:id="0"/>
    </w:p>
    <w:sectPr w:rsidR="007C03A1" w:rsidRPr="00F05CA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236443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364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817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3D0D-174D-4CD8-A413-A47F31D2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80</cp:revision>
  <cp:lastPrinted>2022-12-12T12:48:00Z</cp:lastPrinted>
  <dcterms:created xsi:type="dcterms:W3CDTF">2022-12-13T07:44:00Z</dcterms:created>
  <dcterms:modified xsi:type="dcterms:W3CDTF">2022-12-13T13:37:00Z</dcterms:modified>
</cp:coreProperties>
</file>