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4" w:rsidRPr="00DE177D" w:rsidRDefault="002D4BF4" w:rsidP="002D4BF4">
      <w:pPr>
        <w:pStyle w:val="ZAGG1"/>
      </w:pPr>
      <w:bookmarkStart w:id="0" w:name="_GoBack"/>
      <w:bookmarkEnd w:id="0"/>
      <w:r w:rsidRPr="00DE177D">
        <w:t>12.11. Производство основных продуктов животноводства</w:t>
      </w:r>
    </w:p>
    <w:p w:rsidR="002D4BF4" w:rsidRPr="00DE177D" w:rsidRDefault="002D4BF4" w:rsidP="002D4BF4">
      <w:pPr>
        <w:spacing w:after="60"/>
        <w:jc w:val="center"/>
        <w:rPr>
          <w:b/>
          <w:bCs/>
          <w:sz w:val="14"/>
          <w:szCs w:val="14"/>
        </w:rPr>
      </w:pPr>
      <w:r w:rsidRPr="00DE177D">
        <w:rPr>
          <w:rFonts w:ascii="Arial" w:hAnsi="Arial" w:cs="Arial"/>
          <w:sz w:val="14"/>
          <w:szCs w:val="14"/>
        </w:rPr>
        <w:t>(в хозяйствах всех категорий)</w:t>
      </w:r>
    </w:p>
    <w:tbl>
      <w:tblPr>
        <w:tblW w:w="6573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630"/>
        <w:gridCol w:w="630"/>
        <w:gridCol w:w="630"/>
        <w:gridCol w:w="630"/>
        <w:gridCol w:w="630"/>
        <w:gridCol w:w="630"/>
        <w:gridCol w:w="631"/>
      </w:tblGrid>
      <w:tr w:rsidR="002D4BF4" w:rsidRPr="00DE177D" w:rsidTr="0064201E">
        <w:trPr>
          <w:trHeight w:val="60"/>
        </w:trPr>
        <w:tc>
          <w:tcPr>
            <w:tcW w:w="2162" w:type="dxa"/>
            <w:tcBorders>
              <w:bottom w:val="single" w:sz="6" w:space="0" w:color="000000"/>
            </w:tcBorders>
            <w:vAlign w:val="bottom"/>
          </w:tcPr>
          <w:p w:rsidR="002D4BF4" w:rsidRPr="00DE177D" w:rsidRDefault="002D4BF4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vAlign w:val="center"/>
          </w:tcPr>
          <w:p w:rsidR="002D4BF4" w:rsidRPr="00DE177D" w:rsidRDefault="002D4BF4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E177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vAlign w:val="center"/>
          </w:tcPr>
          <w:p w:rsidR="002D4BF4" w:rsidRPr="00DE177D" w:rsidRDefault="002D4BF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E177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vAlign w:val="center"/>
          </w:tcPr>
          <w:p w:rsidR="002D4BF4" w:rsidRPr="00DE177D" w:rsidRDefault="002D4BF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E177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vAlign w:val="center"/>
          </w:tcPr>
          <w:p w:rsidR="002D4BF4" w:rsidRPr="00DE177D" w:rsidRDefault="002D4BF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177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vAlign w:val="center"/>
          </w:tcPr>
          <w:p w:rsidR="002D4BF4" w:rsidRPr="00DE177D" w:rsidRDefault="002D4BF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177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4BF4" w:rsidRPr="00142F0E" w:rsidRDefault="002D4BF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4BF4" w:rsidRPr="00142F0E" w:rsidRDefault="002D4BF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Скот и птица на убой</w:t>
            </w:r>
            <w:r w:rsidRPr="00540F67">
              <w:rPr>
                <w:rFonts w:ascii="Arial" w:hAnsi="Arial" w:cs="Arial"/>
                <w:sz w:val="14"/>
                <w:szCs w:val="14"/>
              </w:rPr>
              <w:br/>
              <w:t>(в убойном весе)</w:t>
            </w: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1,3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1,2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7,2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9,5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10,6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10,9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11,2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11,3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102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121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129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131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137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134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  <w:vertAlign w:val="superscript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65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74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77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78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6,6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7,0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7,3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7,4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7,8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7,8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31,5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29,9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30,6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31,4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32,2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32,3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69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744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777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784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827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840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221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204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208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220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222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шт.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3,7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3,4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3,5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40,8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42,5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44,9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44,9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44,9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44,9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на душу населения, шт.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373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396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356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373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372</w:t>
            </w:r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379</w:t>
            </w:r>
          </w:p>
        </w:tc>
      </w:tr>
      <w:tr w:rsidR="002D4BF4" w:rsidRPr="00DE177D" w:rsidTr="0064201E">
        <w:trPr>
          <w:trHeight w:val="60"/>
        </w:trPr>
        <w:tc>
          <w:tcPr>
            <w:tcW w:w="2162" w:type="dxa"/>
            <w:tcBorders>
              <w:top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2D4BF4" w:rsidRPr="00540F67" w:rsidRDefault="002D4BF4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285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290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306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306</w:t>
            </w:r>
          </w:p>
        </w:tc>
        <w:tc>
          <w:tcPr>
            <w:tcW w:w="630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307</w:t>
            </w:r>
          </w:p>
        </w:tc>
        <w:tc>
          <w:tcPr>
            <w:tcW w:w="631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D4BF4" w:rsidRPr="00540F67" w:rsidRDefault="002D4BF4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308</w:t>
            </w:r>
          </w:p>
        </w:tc>
      </w:tr>
    </w:tbl>
    <w:p w:rsidR="007C03A1" w:rsidRPr="00F84980" w:rsidRDefault="007C03A1" w:rsidP="00F84980"/>
    <w:sectPr w:rsidR="007C03A1" w:rsidRPr="00F84980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2D4BF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D4B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91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727F-917E-4FFE-8AEF-80B0179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100</cp:revision>
  <cp:lastPrinted>2022-12-12T12:48:00Z</cp:lastPrinted>
  <dcterms:created xsi:type="dcterms:W3CDTF">2022-12-13T07:44:00Z</dcterms:created>
  <dcterms:modified xsi:type="dcterms:W3CDTF">2022-12-14T07:28:00Z</dcterms:modified>
</cp:coreProperties>
</file>