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1" w:rsidRPr="00BC165D" w:rsidRDefault="008B4CB1" w:rsidP="008B4CB1">
      <w:pPr>
        <w:pStyle w:val="ZAGG"/>
        <w:spacing w:after="60"/>
        <w:rPr>
          <w:color w:val="auto"/>
        </w:rPr>
      </w:pPr>
      <w:bookmarkStart w:id="0" w:name="_GoBack"/>
      <w:bookmarkEnd w:id="0"/>
      <w:r w:rsidRPr="00BC165D">
        <w:rPr>
          <w:color w:val="auto"/>
        </w:rPr>
        <w:t>21.7. Цель 7</w:t>
      </w:r>
      <w:r>
        <w:rPr>
          <w:color w:val="auto"/>
        </w:rPr>
        <w:t>.</w:t>
      </w:r>
      <w:r w:rsidRPr="00BC165D">
        <w:rPr>
          <w:color w:val="auto"/>
        </w:rPr>
        <w:t xml:space="preserve"> НЕДОРОГОСТОЯЩАЯ И ЧИСТАЯ ЭНЕРГИЯ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8B4CB1" w:rsidRPr="00BC165D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B4CB1" w:rsidRPr="00BC165D" w:rsidRDefault="008B4C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8B4CB1" w:rsidRPr="000E4E2B" w:rsidRDefault="008B4CB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населения, имеющего доступ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к электроэнергии (процент)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BC165D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C90635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  <w:r w:rsidRPr="00C90635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C90635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63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C90635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63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E85AE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0E4E2B" w:rsidRDefault="008B4CB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Энергоемкость валового внутреннего пр</w:t>
            </w:r>
            <w:r w:rsidRPr="000E4E2B">
              <w:rPr>
                <w:rFonts w:ascii="Arial" w:hAnsi="Arial" w:cs="Arial"/>
                <w:sz w:val="14"/>
                <w:szCs w:val="14"/>
              </w:rPr>
              <w:t>о</w:t>
            </w:r>
            <w:r w:rsidRPr="000E4E2B">
              <w:rPr>
                <w:rFonts w:ascii="Arial" w:hAnsi="Arial" w:cs="Arial"/>
                <w:sz w:val="14"/>
                <w:szCs w:val="14"/>
              </w:rPr>
              <w:t>дукта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406,5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375,9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375,5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372,0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375,4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389,6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autoSpaceDE w:val="0"/>
              <w:autoSpaceDN w:val="0"/>
              <w:adjustRightInd w:val="0"/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121,44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118,92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111,61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…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0E4E2B" w:rsidRDefault="008B4CB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Установленная электрическая мощность генерирующих установок, функциониру</w:t>
            </w:r>
            <w:r w:rsidRPr="000E4E2B">
              <w:rPr>
                <w:rFonts w:ascii="Arial" w:hAnsi="Arial" w:cs="Arial"/>
                <w:sz w:val="14"/>
                <w:szCs w:val="14"/>
              </w:rPr>
              <w:t>ю</w:t>
            </w:r>
            <w:r w:rsidRPr="000E4E2B">
              <w:rPr>
                <w:rFonts w:ascii="Arial" w:hAnsi="Arial" w:cs="Arial"/>
                <w:sz w:val="14"/>
                <w:szCs w:val="14"/>
              </w:rPr>
              <w:t>щих на основе возобновляемых источн</w:t>
            </w:r>
            <w:r w:rsidRPr="000E4E2B">
              <w:rPr>
                <w:rFonts w:ascii="Arial" w:hAnsi="Arial" w:cs="Arial"/>
                <w:sz w:val="14"/>
                <w:szCs w:val="14"/>
              </w:rPr>
              <w:t>и</w:t>
            </w:r>
            <w:r w:rsidRPr="000E4E2B">
              <w:rPr>
                <w:rFonts w:ascii="Arial" w:hAnsi="Arial" w:cs="Arial"/>
                <w:sz w:val="14"/>
                <w:szCs w:val="14"/>
              </w:rPr>
              <w:t xml:space="preserve">ков энергии,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душу населения (в ваттах)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43,0</w:t>
            </w:r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52,1</w:t>
            </w:r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52,6</w:t>
            </w:r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347,5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356,2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368,3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E85AE0">
              <w:rPr>
                <w:rFonts w:ascii="Arial" w:eastAsia="Calibri" w:hAnsi="Arial" w:cs="Arial"/>
                <w:sz w:val="14"/>
                <w:szCs w:val="14"/>
              </w:rPr>
              <w:t>375,2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0E4E2B" w:rsidRDefault="008B4CB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Объем инвестиций в основной капитал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 энергетику к общему объему инвестиций в основной капитал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7</w:t>
            </w:r>
            <w:proofErr w:type="gramEnd"/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8B4CB1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E85AE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8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B4CB1" w:rsidRPr="00E85AE0" w:rsidRDefault="008B4CB1" w:rsidP="0064201E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</w:tbl>
    <w:p w:rsidR="008B4CB1" w:rsidRPr="00E85AE0" w:rsidRDefault="008B4CB1" w:rsidP="008B4CB1">
      <w:pPr>
        <w:spacing w:before="60"/>
        <w:jc w:val="both"/>
        <w:rPr>
          <w:rFonts w:ascii="Arial" w:eastAsia="Calibri" w:hAnsi="Arial" w:cs="Arial"/>
          <w:sz w:val="11"/>
          <w:szCs w:val="11"/>
        </w:rPr>
      </w:pPr>
      <w:r w:rsidRPr="00E85AE0">
        <w:rPr>
          <w:rFonts w:ascii="Arial" w:eastAsia="Calibri" w:hAnsi="Arial" w:cs="Arial"/>
          <w:sz w:val="11"/>
          <w:szCs w:val="11"/>
          <w:vertAlign w:val="superscript"/>
        </w:rPr>
        <w:t>1)</w:t>
      </w:r>
      <w:r w:rsidRPr="00E85AE0">
        <w:rPr>
          <w:rFonts w:ascii="Arial" w:eastAsia="Calibri" w:hAnsi="Arial" w:cs="Arial"/>
          <w:sz w:val="11"/>
          <w:szCs w:val="11"/>
        </w:rPr>
        <w:t xml:space="preserve"> По данным </w:t>
      </w:r>
      <w:proofErr w:type="spellStart"/>
      <w:r w:rsidRPr="00E85AE0">
        <w:rPr>
          <w:rFonts w:ascii="Arial" w:eastAsia="Calibri" w:hAnsi="Arial" w:cs="Arial"/>
          <w:sz w:val="11"/>
          <w:szCs w:val="11"/>
        </w:rPr>
        <w:t>многоиндикаторного</w:t>
      </w:r>
      <w:proofErr w:type="spellEnd"/>
      <w:r w:rsidRPr="00E85AE0">
        <w:rPr>
          <w:rFonts w:ascii="Arial" w:eastAsia="Calibri" w:hAnsi="Arial" w:cs="Arial"/>
          <w:sz w:val="11"/>
          <w:szCs w:val="11"/>
        </w:rPr>
        <w:t xml:space="preserve"> кластерного обследования для оценки положения детей и женщин (МИКС-6) за 2019 год.</w:t>
      </w:r>
    </w:p>
    <w:p w:rsidR="008B4CB1" w:rsidRPr="00C90635" w:rsidRDefault="008B4CB1" w:rsidP="008B4CB1">
      <w:pPr>
        <w:pStyle w:val="afd"/>
        <w:ind w:left="113" w:hanging="113"/>
        <w:jc w:val="both"/>
        <w:rPr>
          <w:rFonts w:ascii="Arial" w:hAnsi="Arial" w:cs="Arial"/>
          <w:sz w:val="12"/>
          <w:szCs w:val="12"/>
        </w:rPr>
      </w:pPr>
      <w:r w:rsidRPr="00C90635">
        <w:rPr>
          <w:rFonts w:ascii="Arial" w:eastAsia="Calibri" w:hAnsi="Arial" w:cs="Arial"/>
          <w:sz w:val="11"/>
          <w:szCs w:val="11"/>
          <w:vertAlign w:val="superscript"/>
        </w:rPr>
        <w:t>2)</w:t>
      </w:r>
      <w:r w:rsidRPr="00C90635">
        <w:rPr>
          <w:rFonts w:ascii="Arial" w:hAnsi="Arial" w:cs="Arial"/>
          <w:sz w:val="12"/>
          <w:szCs w:val="12"/>
        </w:rPr>
        <w:t xml:space="preserve"> </w:t>
      </w:r>
      <w:r w:rsidRPr="00C90635">
        <w:rPr>
          <w:rFonts w:ascii="Arial" w:eastAsia="Calibri" w:hAnsi="Arial" w:cs="Arial"/>
          <w:sz w:val="11"/>
          <w:szCs w:val="11"/>
        </w:rPr>
        <w:t>По данным Комплексного наблюдения условий жизни населения, которое проводится с периодичностью 1 раз в 2 года.</w:t>
      </w:r>
    </w:p>
    <w:p w:rsidR="008B4CB1" w:rsidRPr="00E85AE0" w:rsidRDefault="008B4CB1" w:rsidP="008B4CB1">
      <w:pPr>
        <w:jc w:val="both"/>
        <w:rPr>
          <w:rFonts w:ascii="Arial" w:eastAsia="Calibri" w:hAnsi="Arial" w:cs="Arial"/>
          <w:sz w:val="11"/>
          <w:szCs w:val="11"/>
        </w:rPr>
      </w:pPr>
      <w:r w:rsidRPr="00E85AE0">
        <w:rPr>
          <w:rFonts w:ascii="Arial" w:eastAsia="Calibri" w:hAnsi="Arial" w:cs="Arial"/>
          <w:sz w:val="11"/>
          <w:szCs w:val="11"/>
          <w:vertAlign w:val="superscript"/>
        </w:rPr>
        <w:t>3)</w:t>
      </w:r>
      <w:r w:rsidRPr="00E85AE0">
        <w:rPr>
          <w:rFonts w:ascii="Arial" w:eastAsia="Calibri" w:hAnsi="Arial" w:cs="Arial"/>
          <w:sz w:val="11"/>
          <w:szCs w:val="11"/>
        </w:rPr>
        <w:t xml:space="preserve"> кг условного </w:t>
      </w:r>
      <w:r w:rsidRPr="00E85AE0">
        <w:rPr>
          <w:rFonts w:ascii="Arial" w:eastAsia="Calibri" w:hAnsi="Arial" w:cs="Arial"/>
          <w:bCs/>
          <w:sz w:val="11"/>
          <w:szCs w:val="11"/>
        </w:rPr>
        <w:t>топлива</w:t>
      </w:r>
      <w:r w:rsidRPr="00E85AE0">
        <w:rPr>
          <w:rFonts w:ascii="Arial" w:eastAsia="Calibri" w:hAnsi="Arial" w:cs="Arial"/>
          <w:sz w:val="11"/>
          <w:szCs w:val="11"/>
        </w:rPr>
        <w:t xml:space="preserve"> на миллион рублей в постоянных ценах 2005 г.</w:t>
      </w:r>
    </w:p>
    <w:p w:rsidR="008B4CB1" w:rsidRPr="00E85AE0" w:rsidRDefault="008B4CB1" w:rsidP="008B4CB1">
      <w:pPr>
        <w:ind w:left="85" w:hanging="85"/>
        <w:jc w:val="both"/>
        <w:rPr>
          <w:rFonts w:ascii="Arial" w:eastAsia="Calibri" w:hAnsi="Arial" w:cs="Arial"/>
          <w:strike/>
          <w:sz w:val="11"/>
          <w:szCs w:val="11"/>
        </w:rPr>
      </w:pPr>
      <w:r w:rsidRPr="00E85AE0">
        <w:rPr>
          <w:rFonts w:ascii="Arial" w:hAnsi="Arial" w:cs="Arial"/>
          <w:sz w:val="11"/>
          <w:szCs w:val="11"/>
          <w:vertAlign w:val="superscript"/>
        </w:rPr>
        <w:t>4)</w:t>
      </w:r>
      <w:r w:rsidRPr="00E85AE0">
        <w:rPr>
          <w:rFonts w:ascii="Arial" w:hAnsi="Arial" w:cs="Arial"/>
          <w:sz w:val="11"/>
          <w:szCs w:val="11"/>
        </w:rPr>
        <w:t> </w:t>
      </w:r>
      <w:r w:rsidRPr="00E85AE0">
        <w:rPr>
          <w:rFonts w:ascii="Arial" w:eastAsia="Calibri" w:hAnsi="Arial" w:cs="Arial"/>
          <w:sz w:val="11"/>
          <w:szCs w:val="11"/>
        </w:rPr>
        <w:t xml:space="preserve">кг условного топлива на 10 тысяч рублей в постоянных ценах 2016 г., срок предоставления информации за 2021 </w:t>
      </w:r>
      <w:r>
        <w:rPr>
          <w:rFonts w:ascii="Arial" w:eastAsia="Calibri" w:hAnsi="Arial" w:cs="Arial"/>
          <w:sz w:val="11"/>
          <w:szCs w:val="11"/>
        </w:rPr>
        <w:t xml:space="preserve">г. – </w:t>
      </w:r>
      <w:r>
        <w:rPr>
          <w:rFonts w:ascii="Arial" w:eastAsia="Calibri" w:hAnsi="Arial" w:cs="Arial"/>
          <w:sz w:val="11"/>
          <w:szCs w:val="11"/>
        </w:rPr>
        <w:br/>
      </w:r>
      <w:r w:rsidRPr="00E85AE0">
        <w:rPr>
          <w:rFonts w:ascii="Arial" w:eastAsia="Calibri" w:hAnsi="Arial" w:cs="Arial"/>
          <w:sz w:val="11"/>
          <w:szCs w:val="11"/>
        </w:rPr>
        <w:t>1 апреля  2023 г.</w:t>
      </w:r>
    </w:p>
    <w:p w:rsidR="008B4CB1" w:rsidRPr="00E85AE0" w:rsidRDefault="008B4CB1" w:rsidP="008B4CB1">
      <w:pPr>
        <w:ind w:left="113" w:hanging="113"/>
        <w:jc w:val="both"/>
        <w:rPr>
          <w:rFonts w:ascii="Arial" w:hAnsi="Arial" w:cs="Arial"/>
          <w:sz w:val="11"/>
          <w:szCs w:val="11"/>
        </w:rPr>
      </w:pPr>
      <w:r w:rsidRPr="00E85AE0">
        <w:rPr>
          <w:rFonts w:ascii="Arial" w:hAnsi="Arial" w:cs="Arial"/>
          <w:sz w:val="11"/>
          <w:szCs w:val="11"/>
          <w:vertAlign w:val="superscript"/>
        </w:rPr>
        <w:t>5)</w:t>
      </w:r>
      <w:r w:rsidRPr="00E85AE0">
        <w:rPr>
          <w:rFonts w:ascii="Arial" w:eastAsia="Calibri" w:hAnsi="Arial" w:cs="Arial"/>
          <w:sz w:val="11"/>
          <w:szCs w:val="11"/>
        </w:rPr>
        <w:t xml:space="preserve"> По данным Министерства энергетики Республики Беларусь.</w:t>
      </w:r>
      <w:r w:rsidRPr="00E85AE0">
        <w:rPr>
          <w:rFonts w:ascii="Arial" w:hAnsi="Arial" w:cs="Arial"/>
          <w:sz w:val="11"/>
          <w:szCs w:val="11"/>
        </w:rPr>
        <w:t xml:space="preserve">  </w:t>
      </w:r>
    </w:p>
    <w:p w:rsidR="008B4CB1" w:rsidRPr="00E85AE0" w:rsidRDefault="008B4CB1" w:rsidP="008B4CB1">
      <w:pPr>
        <w:ind w:left="113" w:hanging="113"/>
        <w:jc w:val="both"/>
        <w:rPr>
          <w:rFonts w:ascii="Arial" w:eastAsia="Calibri" w:hAnsi="Arial" w:cs="Arial"/>
          <w:sz w:val="11"/>
          <w:szCs w:val="11"/>
        </w:rPr>
      </w:pPr>
      <w:r w:rsidRPr="00E85AE0">
        <w:rPr>
          <w:rFonts w:ascii="Arial" w:hAnsi="Arial" w:cs="Arial"/>
          <w:sz w:val="11"/>
          <w:szCs w:val="11"/>
          <w:vertAlign w:val="superscript"/>
        </w:rPr>
        <w:t>6)</w:t>
      </w:r>
      <w:r w:rsidRPr="00E85AE0">
        <w:rPr>
          <w:rFonts w:ascii="Arial" w:hAnsi="Arial" w:cs="Arial"/>
          <w:sz w:val="11"/>
          <w:szCs w:val="11"/>
        </w:rPr>
        <w:t> </w:t>
      </w:r>
      <w:r w:rsidRPr="00E85AE0">
        <w:rPr>
          <w:rFonts w:ascii="Arial" w:eastAsia="Calibri" w:hAnsi="Arial" w:cs="Arial"/>
          <w:sz w:val="11"/>
          <w:szCs w:val="11"/>
        </w:rPr>
        <w:t>При расчете учитываются мощности на основе солнечной, ветровой, геотермальной и гидроэнергии.</w:t>
      </w:r>
    </w:p>
    <w:p w:rsidR="008B4CB1" w:rsidRPr="00E85AE0" w:rsidRDefault="008B4CB1" w:rsidP="008B4CB1">
      <w:pPr>
        <w:ind w:left="113" w:hanging="113"/>
        <w:jc w:val="both"/>
        <w:rPr>
          <w:rFonts w:ascii="Arial" w:hAnsi="Arial" w:cs="Arial"/>
          <w:sz w:val="11"/>
          <w:szCs w:val="11"/>
        </w:rPr>
      </w:pPr>
      <w:r w:rsidRPr="00E85AE0">
        <w:rPr>
          <w:rFonts w:ascii="Arial" w:hAnsi="Arial" w:cs="Arial"/>
          <w:sz w:val="11"/>
          <w:szCs w:val="11"/>
          <w:vertAlign w:val="superscript"/>
        </w:rPr>
        <w:t>7) </w:t>
      </w:r>
      <w:r w:rsidRPr="00E85AE0">
        <w:rPr>
          <w:rFonts w:ascii="Arial" w:hAnsi="Arial" w:cs="Arial"/>
          <w:sz w:val="11"/>
          <w:szCs w:val="11"/>
        </w:rPr>
        <w:t>За 2010 г. данные приведены по виду экономической деятельности ОКРБ 005-2006 «Производство и распределение эле</w:t>
      </w:r>
      <w:r w:rsidRPr="00E85AE0">
        <w:rPr>
          <w:rFonts w:ascii="Arial" w:hAnsi="Arial" w:cs="Arial"/>
          <w:sz w:val="11"/>
          <w:szCs w:val="11"/>
        </w:rPr>
        <w:t>к</w:t>
      </w:r>
      <w:r w:rsidRPr="00E85AE0">
        <w:rPr>
          <w:rFonts w:ascii="Arial" w:hAnsi="Arial" w:cs="Arial"/>
          <w:sz w:val="11"/>
          <w:szCs w:val="11"/>
        </w:rPr>
        <w:t>троэнергии, газа и воды». С 2015 г. данные приведены по виду экономической деятельности ОКРБ 005-2011 (КДЕС, реда</w:t>
      </w:r>
      <w:r w:rsidRPr="00E85AE0">
        <w:rPr>
          <w:rFonts w:ascii="Arial" w:hAnsi="Arial" w:cs="Arial"/>
          <w:sz w:val="11"/>
          <w:szCs w:val="11"/>
        </w:rPr>
        <w:t>к</w:t>
      </w:r>
      <w:r w:rsidRPr="00E85AE0">
        <w:rPr>
          <w:rFonts w:ascii="Arial" w:hAnsi="Arial" w:cs="Arial"/>
          <w:sz w:val="11"/>
          <w:szCs w:val="11"/>
        </w:rPr>
        <w:t>ция 2,0) «Снабжение электроэнергией, газом, паром, горячей водой и кондиционированным воздухом».</w:t>
      </w:r>
    </w:p>
    <w:p w:rsidR="008B4CB1" w:rsidRPr="00E85AE0" w:rsidRDefault="008B4CB1" w:rsidP="008B4CB1">
      <w:pPr>
        <w:ind w:left="85" w:hanging="85"/>
        <w:jc w:val="both"/>
        <w:rPr>
          <w:rFonts w:ascii="Arial" w:hAnsi="Arial" w:cs="Arial"/>
          <w:sz w:val="11"/>
          <w:szCs w:val="11"/>
        </w:rPr>
      </w:pPr>
      <w:r w:rsidRPr="00E85AE0">
        <w:rPr>
          <w:rFonts w:ascii="Arial" w:hAnsi="Arial" w:cs="Arial"/>
          <w:sz w:val="12"/>
          <w:szCs w:val="12"/>
          <w:vertAlign w:val="superscript"/>
        </w:rPr>
        <w:t>8)</w:t>
      </w:r>
      <w:r w:rsidRPr="00E85AE0">
        <w:rPr>
          <w:rFonts w:ascii="Arial" w:hAnsi="Arial" w:cs="Arial"/>
          <w:sz w:val="12"/>
          <w:szCs w:val="12"/>
        </w:rPr>
        <w:t xml:space="preserve"> </w:t>
      </w:r>
      <w:r w:rsidRPr="00E85AE0">
        <w:rPr>
          <w:rFonts w:ascii="Arial" w:hAnsi="Arial" w:cs="Arial"/>
          <w:sz w:val="11"/>
          <w:szCs w:val="11"/>
        </w:rPr>
        <w:t>За 2010 г. данные приведены по виду экономической деятельности ОКВЭД 2007 (КДЕС ред. 1.1) «Производство, передача и распределение электроэнергии, газа, пара и горячей воды». С 2015 г. приведены данные по виду экономической деятельн</w:t>
      </w:r>
      <w:r w:rsidRPr="00E85AE0">
        <w:rPr>
          <w:rFonts w:ascii="Arial" w:hAnsi="Arial" w:cs="Arial"/>
          <w:sz w:val="11"/>
          <w:szCs w:val="11"/>
        </w:rPr>
        <w:t>о</w:t>
      </w:r>
      <w:r w:rsidRPr="00E85AE0">
        <w:rPr>
          <w:rFonts w:ascii="Arial" w:hAnsi="Arial" w:cs="Arial"/>
          <w:sz w:val="11"/>
          <w:szCs w:val="11"/>
        </w:rPr>
        <w:t>сти ОКВЭД 2 (КДЕС ред. 2) «Обеспечение электрической энергией, газом и паром; кондиционирование воздуха».</w:t>
      </w:r>
    </w:p>
    <w:p w:rsidR="00120EB1" w:rsidRPr="008B4CB1" w:rsidRDefault="00120EB1" w:rsidP="008B4CB1"/>
    <w:sectPr w:rsidR="00120EB1" w:rsidRPr="008B4CB1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43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5DC9-F755-4731-9B0F-39994009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166</cp:revision>
  <cp:lastPrinted>2022-12-12T12:48:00Z</cp:lastPrinted>
  <dcterms:created xsi:type="dcterms:W3CDTF">2022-12-13T07:44:00Z</dcterms:created>
  <dcterms:modified xsi:type="dcterms:W3CDTF">2022-12-14T10:59:00Z</dcterms:modified>
</cp:coreProperties>
</file>