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D4" w:rsidRPr="0045180E" w:rsidRDefault="005976D4" w:rsidP="005976D4">
      <w:pPr>
        <w:pageBreakBefore/>
        <w:overflowPunct/>
        <w:autoSpaceDE/>
        <w:autoSpaceDN/>
        <w:adjustRightInd/>
        <w:spacing w:after="60"/>
        <w:jc w:val="center"/>
        <w:textAlignment w:val="auto"/>
        <w:rPr>
          <w:rFonts w:ascii="Arial" w:hAnsi="Arial" w:cs="Arial"/>
          <w:b/>
          <w:caps/>
          <w:color w:val="000000"/>
          <w:sz w:val="16"/>
          <w:szCs w:val="16"/>
        </w:rPr>
      </w:pPr>
      <w:r w:rsidRPr="003B5B19">
        <w:rPr>
          <w:rFonts w:ascii="Arial" w:hAnsi="Arial" w:cs="Arial"/>
          <w:b/>
          <w:sz w:val="16"/>
          <w:szCs w:val="16"/>
        </w:rPr>
        <w:t>3.11. Г</w:t>
      </w:r>
      <w:r w:rsidRPr="003B5B19">
        <w:rPr>
          <w:rFonts w:ascii="Arial" w:hAnsi="Arial" w:cs="Arial"/>
          <w:b/>
          <w:caps/>
          <w:sz w:val="16"/>
          <w:szCs w:val="16"/>
        </w:rPr>
        <w:t xml:space="preserve">руппировка </w:t>
      </w:r>
      <w:r w:rsidRPr="0045180E">
        <w:rPr>
          <w:rFonts w:ascii="Arial" w:hAnsi="Arial" w:cs="Arial"/>
          <w:b/>
          <w:color w:val="000000"/>
          <w:sz w:val="16"/>
          <w:szCs w:val="16"/>
        </w:rPr>
        <w:t xml:space="preserve">ОРГАНИЗАЦИЙ ПО ДОБЫЧЕ ПОЛЕЗНЫХ ИСКОПАЕМЫХ, </w:t>
      </w:r>
      <w:r>
        <w:rPr>
          <w:rFonts w:ascii="Arial" w:hAnsi="Arial" w:cs="Arial"/>
          <w:b/>
          <w:color w:val="000000"/>
          <w:sz w:val="16"/>
          <w:szCs w:val="16"/>
        </w:rPr>
        <w:br/>
      </w:r>
      <w:r w:rsidRPr="0045180E">
        <w:rPr>
          <w:rFonts w:ascii="Arial" w:hAnsi="Arial" w:cs="Arial"/>
          <w:b/>
          <w:color w:val="000000"/>
          <w:sz w:val="16"/>
          <w:szCs w:val="16"/>
        </w:rPr>
        <w:t>ОБРАБАТЫВАЮЩИХ ПРОИЗВОДСТВ, ОБЕСПЕЧЕНИ</w:t>
      </w:r>
      <w:r>
        <w:rPr>
          <w:rFonts w:ascii="Arial" w:hAnsi="Arial" w:cs="Arial"/>
          <w:b/>
          <w:color w:val="000000"/>
          <w:sz w:val="16"/>
          <w:szCs w:val="16"/>
        </w:rPr>
        <w:t>Я</w:t>
      </w:r>
      <w:r w:rsidRPr="0045180E">
        <w:rPr>
          <w:rFonts w:ascii="Arial" w:hAnsi="Arial" w:cs="Arial"/>
          <w:b/>
          <w:color w:val="000000"/>
          <w:sz w:val="16"/>
          <w:szCs w:val="16"/>
        </w:rPr>
        <w:t xml:space="preserve"> ЭЛЕКТРИЧЕСКОЙ </w:t>
      </w:r>
      <w:r>
        <w:rPr>
          <w:rFonts w:ascii="Arial" w:hAnsi="Arial" w:cs="Arial"/>
          <w:b/>
          <w:color w:val="000000"/>
          <w:sz w:val="16"/>
          <w:szCs w:val="16"/>
        </w:rPr>
        <w:br/>
      </w:r>
      <w:r w:rsidRPr="0045180E">
        <w:rPr>
          <w:rFonts w:ascii="Arial" w:hAnsi="Arial" w:cs="Arial"/>
          <w:b/>
          <w:color w:val="000000"/>
          <w:sz w:val="16"/>
          <w:szCs w:val="16"/>
        </w:rPr>
        <w:t>ЭНЕРГИЕЙ, ГАЗОМ И ПАРОМ; КОНДИЦИОНИРОВАНИ</w:t>
      </w:r>
      <w:r>
        <w:rPr>
          <w:rFonts w:ascii="Arial" w:hAnsi="Arial" w:cs="Arial"/>
          <w:b/>
          <w:color w:val="000000"/>
          <w:sz w:val="16"/>
          <w:szCs w:val="16"/>
        </w:rPr>
        <w:t>Я</w:t>
      </w:r>
      <w:r w:rsidRPr="0045180E">
        <w:rPr>
          <w:rFonts w:ascii="Arial" w:hAnsi="Arial" w:cs="Arial"/>
          <w:b/>
          <w:color w:val="000000"/>
          <w:sz w:val="16"/>
          <w:szCs w:val="16"/>
        </w:rPr>
        <w:t xml:space="preserve"> ВОЗДУХА </w:t>
      </w:r>
      <w:r>
        <w:rPr>
          <w:rFonts w:ascii="Arial" w:hAnsi="Arial" w:cs="Arial"/>
          <w:b/>
          <w:color w:val="000000"/>
          <w:sz w:val="16"/>
          <w:szCs w:val="16"/>
        </w:rPr>
        <w:br/>
      </w:r>
      <w:r w:rsidRPr="0045180E">
        <w:rPr>
          <w:rFonts w:ascii="Arial" w:hAnsi="Arial" w:cs="Arial"/>
          <w:b/>
          <w:color w:val="000000"/>
          <w:sz w:val="16"/>
          <w:szCs w:val="16"/>
        </w:rPr>
        <w:t xml:space="preserve">И </w:t>
      </w:r>
      <w:r w:rsidRPr="0045180E">
        <w:rPr>
          <w:rFonts w:ascii="Arial" w:hAnsi="Arial" w:cs="Arial"/>
          <w:b/>
          <w:bCs/>
          <w:color w:val="000000"/>
          <w:sz w:val="16"/>
          <w:szCs w:val="16"/>
        </w:rPr>
        <w:t>ВОДОСНАБЖЕНИ</w:t>
      </w:r>
      <w:r>
        <w:rPr>
          <w:rFonts w:ascii="Arial" w:hAnsi="Arial" w:cs="Arial"/>
          <w:b/>
          <w:bCs/>
          <w:color w:val="000000"/>
          <w:sz w:val="16"/>
          <w:szCs w:val="16"/>
        </w:rPr>
        <w:t>Я</w:t>
      </w:r>
      <w:r w:rsidRPr="0045180E">
        <w:rPr>
          <w:rFonts w:ascii="Arial" w:hAnsi="Arial" w:cs="Arial"/>
          <w:b/>
          <w:bCs/>
          <w:color w:val="000000"/>
          <w:sz w:val="16"/>
          <w:szCs w:val="16"/>
        </w:rPr>
        <w:t>; ВОДООТВЕДЕНИ</w:t>
      </w:r>
      <w:r>
        <w:rPr>
          <w:rFonts w:ascii="Arial" w:hAnsi="Arial" w:cs="Arial"/>
          <w:b/>
          <w:bCs/>
          <w:color w:val="000000"/>
          <w:sz w:val="16"/>
          <w:szCs w:val="16"/>
        </w:rPr>
        <w:t>Я</w:t>
      </w:r>
      <w:r w:rsidRPr="0045180E">
        <w:rPr>
          <w:rFonts w:ascii="Arial" w:hAnsi="Arial" w:cs="Arial"/>
          <w:b/>
          <w:bCs/>
          <w:color w:val="000000"/>
          <w:sz w:val="16"/>
          <w:szCs w:val="16"/>
        </w:rPr>
        <w:t>, ОРГАНИЗАЦИИ СБОРА И УТИЛИЗАЦИИ ОТХОДОВ</w:t>
      </w:r>
      <w:r w:rsidRPr="0045180E">
        <w:rPr>
          <w:rFonts w:ascii="Arial" w:hAnsi="Arial" w:cs="Arial"/>
          <w:b/>
          <w:caps/>
          <w:color w:val="000000"/>
          <w:sz w:val="16"/>
          <w:szCs w:val="16"/>
        </w:rPr>
        <w:t xml:space="preserve"> по коэффициенту текущей ликвидности </w:t>
      </w:r>
      <w:r>
        <w:rPr>
          <w:rFonts w:ascii="Arial" w:hAnsi="Arial" w:cs="Arial"/>
          <w:b/>
          <w:color w:val="000000"/>
          <w:sz w:val="16"/>
          <w:szCs w:val="16"/>
        </w:rPr>
        <w:t>в</w:t>
      </w:r>
      <w:r w:rsidRPr="0045180E">
        <w:rPr>
          <w:rFonts w:ascii="Arial" w:hAnsi="Arial" w:cs="Arial"/>
          <w:b/>
          <w:caps/>
          <w:color w:val="000000"/>
          <w:sz w:val="16"/>
          <w:szCs w:val="16"/>
        </w:rPr>
        <w:t xml:space="preserve"> </w:t>
      </w:r>
      <w:r w:rsidRPr="00F21BDF">
        <w:rPr>
          <w:rFonts w:ascii="Arial" w:hAnsi="Arial" w:cs="Arial"/>
          <w:b/>
          <w:caps/>
          <w:color w:val="000000" w:themeColor="text1"/>
          <w:sz w:val="16"/>
          <w:szCs w:val="16"/>
        </w:rPr>
        <w:t xml:space="preserve">2019 – 2021 </w:t>
      </w:r>
      <w:r>
        <w:rPr>
          <w:rFonts w:ascii="Arial" w:hAnsi="Arial" w:cs="Arial"/>
          <w:b/>
          <w:color w:val="000000"/>
          <w:sz w:val="16"/>
          <w:szCs w:val="16"/>
        </w:rPr>
        <w:t>г</w:t>
      </w:r>
      <w:r w:rsidRPr="0045180E">
        <w:rPr>
          <w:rFonts w:ascii="Arial" w:hAnsi="Arial" w:cs="Arial"/>
          <w:b/>
          <w:color w:val="000000"/>
          <w:sz w:val="16"/>
          <w:szCs w:val="16"/>
        </w:rPr>
        <w:t>г</w:t>
      </w:r>
      <w:r>
        <w:rPr>
          <w:rFonts w:ascii="Arial" w:hAnsi="Arial" w:cs="Arial"/>
          <w:b/>
          <w:color w:val="000000"/>
          <w:sz w:val="16"/>
          <w:szCs w:val="16"/>
        </w:rPr>
        <w:t>.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8"/>
        <w:gridCol w:w="1133"/>
        <w:gridCol w:w="1133"/>
        <w:gridCol w:w="1133"/>
      </w:tblGrid>
      <w:tr w:rsidR="005976D4" w:rsidRPr="00C64CE5" w:rsidTr="00906E7F">
        <w:trPr>
          <w:cantSplit/>
          <w:jc w:val="center"/>
        </w:trPr>
        <w:tc>
          <w:tcPr>
            <w:tcW w:w="3272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6D4" w:rsidRPr="00F21BDF" w:rsidRDefault="005976D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6D4" w:rsidRPr="00F21BDF" w:rsidRDefault="005976D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F21BDF">
              <w:rPr>
                <w:rFonts w:ascii="Arial" w:hAnsi="Arial" w:cs="Arial"/>
                <w:color w:val="000000" w:themeColor="text1"/>
                <w:sz w:val="12"/>
                <w:szCs w:val="12"/>
              </w:rPr>
              <w:t>Коэффициент текущей ликвидности, процентов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6D4" w:rsidRPr="00F21BDF" w:rsidRDefault="005976D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D4" w:rsidRPr="00F21BDF" w:rsidRDefault="005976D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0 – 100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D4" w:rsidRPr="00F21BDF" w:rsidRDefault="005976D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101 – 200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6D4" w:rsidRPr="00F21BDF" w:rsidRDefault="005976D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свыше 200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top w:val="single" w:sz="6" w:space="0" w:color="auto"/>
              <w:right w:val="single" w:sz="6" w:space="0" w:color="auto"/>
            </w:tcBorders>
          </w:tcPr>
          <w:p w:rsidR="005976D4" w:rsidRPr="00F21BDF" w:rsidRDefault="005976D4" w:rsidP="00906E7F">
            <w:pPr>
              <w:spacing w:before="60" w:after="40" w:line="140" w:lineRule="exac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0" w:after="40" w:line="1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2019 г.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</w:tcPr>
          <w:p w:rsidR="005976D4" w:rsidRPr="00F21BDF" w:rsidRDefault="005976D4" w:rsidP="00906E7F">
            <w:pPr>
              <w:spacing w:before="46" w:line="140" w:lineRule="exac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Всего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Число организаций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29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690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28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704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32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147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в процентах от общего числа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организаций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32,8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31,7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35,5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Кредиторская задолженность, </w:t>
            </w:r>
            <w:proofErr w:type="gramStart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млн</w:t>
            </w:r>
            <w:proofErr w:type="gramEnd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руб.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25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796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506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35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627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994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10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943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899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в процентах от общей суммы задолженности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35,7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49,2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15,1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Дебиторская задолженность, </w:t>
            </w:r>
            <w:proofErr w:type="gramStart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млн</w:t>
            </w:r>
            <w:proofErr w:type="gramEnd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руб.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12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471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02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  <w:t>3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32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130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674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19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034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096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в процентах от общей суммы задолженности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19,6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50,5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29,9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</w:tcPr>
          <w:p w:rsidR="005976D4" w:rsidRPr="00F21BDF" w:rsidRDefault="005976D4" w:rsidP="00906E7F">
            <w:pPr>
              <w:spacing w:before="46" w:line="140" w:lineRule="exact"/>
              <w:ind w:left="284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них по видам</w:t>
            </w: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экономической деятельности: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</w:tcPr>
          <w:p w:rsidR="005976D4" w:rsidRPr="00F21BDF" w:rsidRDefault="005976D4" w:rsidP="00906E7F">
            <w:pPr>
              <w:spacing w:before="46" w:line="140" w:lineRule="exact"/>
              <w:ind w:left="285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Число организаций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  <w:t>706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427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579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в процентах от общего числа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организаций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  <w:lang w:val="en-US"/>
              </w:rPr>
              <w:t>41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,2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25,0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33,8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Кредиторская задолженность, </w:t>
            </w:r>
            <w:proofErr w:type="gramStart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млн</w:t>
            </w:r>
            <w:proofErr w:type="gramEnd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руб.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514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549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625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268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036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844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в процентах от общей суммы задолженности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36,3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38,9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24,8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Дебиторская задолженность, </w:t>
            </w:r>
            <w:proofErr w:type="gramStart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млн</w:t>
            </w:r>
            <w:proofErr w:type="gramEnd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руб.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061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937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802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223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087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204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в процентах от общей суммы задолженности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17,8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30,3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51,9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</w:tcPr>
          <w:p w:rsidR="005976D4" w:rsidRPr="00F21BDF" w:rsidRDefault="005976D4" w:rsidP="00906E7F">
            <w:pPr>
              <w:spacing w:before="46" w:line="140" w:lineRule="exact"/>
              <w:ind w:left="284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Число организаций 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860A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860AF"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Pr="009860AF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9860AF">
              <w:rPr>
                <w:rFonts w:ascii="Arial" w:hAnsi="Arial" w:cs="Arial"/>
                <w:bCs/>
                <w:sz w:val="14"/>
                <w:szCs w:val="14"/>
              </w:rPr>
              <w:t>595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860A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860AF">
              <w:rPr>
                <w:rFonts w:ascii="Arial" w:hAnsi="Arial" w:cs="Arial"/>
                <w:bCs/>
                <w:sz w:val="14"/>
                <w:szCs w:val="14"/>
              </w:rPr>
              <w:t>4</w:t>
            </w:r>
            <w:r w:rsidRPr="009860AF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9860AF">
              <w:rPr>
                <w:rFonts w:ascii="Arial" w:hAnsi="Arial" w:cs="Arial"/>
                <w:bCs/>
                <w:sz w:val="14"/>
                <w:szCs w:val="14"/>
              </w:rPr>
              <w:t>410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860A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860AF">
              <w:rPr>
                <w:rFonts w:ascii="Arial" w:hAnsi="Arial" w:cs="Arial"/>
                <w:bCs/>
                <w:sz w:val="14"/>
                <w:szCs w:val="14"/>
              </w:rPr>
              <w:t>4</w:t>
            </w:r>
            <w:r w:rsidRPr="009860AF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9860AF">
              <w:rPr>
                <w:rFonts w:ascii="Arial" w:hAnsi="Arial" w:cs="Arial"/>
                <w:bCs/>
                <w:sz w:val="14"/>
                <w:szCs w:val="14"/>
              </w:rPr>
              <w:t>944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в процентах от общего числа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организаций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860A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860AF">
              <w:rPr>
                <w:rFonts w:ascii="Arial" w:hAnsi="Arial" w:cs="Arial"/>
                <w:bCs/>
                <w:sz w:val="14"/>
                <w:szCs w:val="14"/>
              </w:rPr>
              <w:t>27,8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860A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860AF">
              <w:rPr>
                <w:rFonts w:ascii="Arial" w:hAnsi="Arial" w:cs="Arial"/>
                <w:bCs/>
                <w:sz w:val="14"/>
                <w:szCs w:val="14"/>
              </w:rPr>
              <w:t>34,0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860A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860AF">
              <w:rPr>
                <w:rFonts w:ascii="Arial" w:hAnsi="Arial" w:cs="Arial"/>
                <w:bCs/>
                <w:sz w:val="14"/>
                <w:szCs w:val="14"/>
              </w:rPr>
              <w:t>38,2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Кредиторская задолженность, </w:t>
            </w:r>
            <w:proofErr w:type="gramStart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млн</w:t>
            </w:r>
            <w:proofErr w:type="gramEnd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руб.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860A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860AF">
              <w:rPr>
                <w:rFonts w:ascii="Arial" w:hAnsi="Arial" w:cs="Arial"/>
                <w:bCs/>
                <w:sz w:val="14"/>
                <w:szCs w:val="14"/>
              </w:rPr>
              <w:t>5 269 636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860A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860AF">
              <w:rPr>
                <w:rFonts w:ascii="Arial" w:hAnsi="Arial" w:cs="Arial"/>
                <w:bCs/>
                <w:sz w:val="14"/>
                <w:szCs w:val="14"/>
              </w:rPr>
              <w:t>10 325 668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860A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860AF">
              <w:rPr>
                <w:rFonts w:ascii="Arial" w:hAnsi="Arial" w:cs="Arial"/>
                <w:bCs/>
                <w:sz w:val="14"/>
                <w:szCs w:val="14"/>
              </w:rPr>
              <w:t>2 755 799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в процентах от общей суммы задолженности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860A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860AF">
              <w:rPr>
                <w:rFonts w:ascii="Arial" w:hAnsi="Arial" w:cs="Arial"/>
                <w:bCs/>
                <w:sz w:val="14"/>
                <w:szCs w:val="14"/>
              </w:rPr>
              <w:t>28,7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860A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860AF">
              <w:rPr>
                <w:rFonts w:ascii="Arial" w:hAnsi="Arial" w:cs="Arial"/>
                <w:bCs/>
                <w:sz w:val="14"/>
                <w:szCs w:val="14"/>
              </w:rPr>
              <w:t>56,3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860A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860AF">
              <w:rPr>
                <w:rFonts w:ascii="Arial" w:hAnsi="Arial" w:cs="Arial"/>
                <w:bCs/>
                <w:sz w:val="14"/>
                <w:szCs w:val="14"/>
              </w:rPr>
              <w:t>15,0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Дебиторская задолженность, </w:t>
            </w:r>
            <w:proofErr w:type="gramStart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млн</w:t>
            </w:r>
            <w:proofErr w:type="gramEnd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руб.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860A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860AF">
              <w:rPr>
                <w:rFonts w:ascii="Arial" w:hAnsi="Arial" w:cs="Arial"/>
                <w:bCs/>
                <w:sz w:val="14"/>
                <w:szCs w:val="14"/>
              </w:rPr>
              <w:t>2 544 890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860A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860AF">
              <w:rPr>
                <w:rFonts w:ascii="Arial" w:hAnsi="Arial" w:cs="Arial"/>
                <w:bCs/>
                <w:sz w:val="14"/>
                <w:szCs w:val="14"/>
              </w:rPr>
              <w:t>9 331 063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860A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860AF">
              <w:rPr>
                <w:rFonts w:ascii="Arial" w:hAnsi="Arial" w:cs="Arial"/>
                <w:bCs/>
                <w:sz w:val="14"/>
                <w:szCs w:val="14"/>
              </w:rPr>
              <w:t>3 140 365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</w:tcPr>
          <w:p w:rsidR="005976D4" w:rsidRPr="00F21BDF" w:rsidRDefault="005976D4" w:rsidP="00906E7F">
            <w:pPr>
              <w:spacing w:before="46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в процентах от общей суммы задолженности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860A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860AF">
              <w:rPr>
                <w:rFonts w:ascii="Arial" w:hAnsi="Arial" w:cs="Arial"/>
                <w:bCs/>
                <w:sz w:val="14"/>
                <w:szCs w:val="14"/>
              </w:rPr>
              <w:t>17,0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860A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860AF">
              <w:rPr>
                <w:rFonts w:ascii="Arial" w:hAnsi="Arial" w:cs="Arial"/>
                <w:bCs/>
                <w:sz w:val="14"/>
                <w:szCs w:val="14"/>
              </w:rPr>
              <w:t>62,1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860A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860AF">
              <w:rPr>
                <w:rFonts w:ascii="Arial" w:hAnsi="Arial" w:cs="Arial"/>
                <w:bCs/>
                <w:sz w:val="14"/>
                <w:szCs w:val="14"/>
              </w:rPr>
              <w:t>20,9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</w:tcPr>
          <w:p w:rsidR="005976D4" w:rsidRPr="00F21BDF" w:rsidRDefault="005976D4" w:rsidP="00906E7F">
            <w:pPr>
              <w:spacing w:before="46" w:line="140" w:lineRule="exact"/>
              <w:ind w:left="284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Обеспечение электрической энергией, </w:t>
            </w:r>
            <w:r w:rsidRPr="00F21BD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  <w:t xml:space="preserve">газом и паром; кондиционирование </w:t>
            </w:r>
            <w:r w:rsidRPr="00F21BD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  <w:t xml:space="preserve">воздуха  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860A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860A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860A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Число организаций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860A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860AF">
              <w:rPr>
                <w:rFonts w:ascii="Arial" w:hAnsi="Arial" w:cs="Arial"/>
                <w:bCs/>
                <w:sz w:val="14"/>
                <w:szCs w:val="14"/>
              </w:rPr>
              <w:t>1</w:t>
            </w:r>
            <w:r w:rsidRPr="009860AF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9860AF">
              <w:rPr>
                <w:rFonts w:ascii="Arial" w:hAnsi="Arial" w:cs="Arial"/>
                <w:bCs/>
                <w:sz w:val="14"/>
                <w:szCs w:val="14"/>
              </w:rPr>
              <w:t>770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860A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860AF">
              <w:rPr>
                <w:rFonts w:ascii="Arial" w:hAnsi="Arial" w:cs="Arial"/>
                <w:bCs/>
                <w:sz w:val="14"/>
                <w:szCs w:val="14"/>
              </w:rPr>
              <w:t>982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860A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860AF">
              <w:rPr>
                <w:rFonts w:ascii="Arial" w:hAnsi="Arial" w:cs="Arial"/>
                <w:bCs/>
                <w:sz w:val="14"/>
                <w:szCs w:val="14"/>
              </w:rPr>
              <w:t>683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в процентах от общего числа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организаций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51,5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28,6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19,9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Кредиторская задолженность, </w:t>
            </w:r>
            <w:proofErr w:type="gramStart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млн</w:t>
            </w:r>
            <w:proofErr w:type="gramEnd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руб.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887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338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708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357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452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605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в процентах от общей суммы задолженности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61,9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23,2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14,9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Дебиторская задолженность, </w:t>
            </w:r>
            <w:proofErr w:type="gramStart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млн</w:t>
            </w:r>
            <w:proofErr w:type="gramEnd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руб.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696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077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725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354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701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871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в процентах от общей суммы задолженности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32,8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34,2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33,0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</w:tcPr>
          <w:p w:rsidR="005976D4" w:rsidRPr="00F21BDF" w:rsidRDefault="005976D4" w:rsidP="00906E7F">
            <w:pPr>
              <w:spacing w:before="46" w:line="140" w:lineRule="exact"/>
              <w:ind w:left="284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Водоснабжение; водоотведение, </w:t>
            </w:r>
            <w:r w:rsidRPr="00F21BD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br/>
            </w:r>
            <w:r w:rsidRPr="00F21BDF">
              <w:rPr>
                <w:rFonts w:ascii="Arial" w:hAnsi="Arial" w:cs="Arial"/>
                <w:b/>
                <w:bCs/>
                <w:color w:val="000000" w:themeColor="text1"/>
                <w:spacing w:val="-2"/>
                <w:sz w:val="14"/>
                <w:szCs w:val="14"/>
              </w:rPr>
              <w:t xml:space="preserve">организация сбора и утилизации </w:t>
            </w:r>
            <w:r w:rsidRPr="00F21BDF">
              <w:rPr>
                <w:rFonts w:ascii="Arial" w:hAnsi="Arial" w:cs="Arial"/>
                <w:b/>
                <w:bCs/>
                <w:color w:val="000000" w:themeColor="text1"/>
                <w:spacing w:val="-2"/>
                <w:sz w:val="14"/>
                <w:szCs w:val="14"/>
              </w:rPr>
              <w:br/>
              <w:t>отходов</w:t>
            </w:r>
            <w:r w:rsidRPr="00F21BDF">
              <w:rPr>
                <w:rFonts w:ascii="Arial" w:hAnsi="Arial" w:cs="Arial"/>
                <w:b/>
                <w:color w:val="000000" w:themeColor="text1"/>
                <w:sz w:val="14"/>
              </w:rPr>
              <w:t xml:space="preserve">, деятельность по ликвидации </w:t>
            </w:r>
            <w:r w:rsidRPr="00F21BDF">
              <w:rPr>
                <w:rFonts w:ascii="Arial" w:hAnsi="Arial" w:cs="Arial"/>
                <w:b/>
                <w:color w:val="000000" w:themeColor="text1"/>
                <w:sz w:val="14"/>
              </w:rPr>
              <w:br/>
              <w:t>загрязнений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Число организаций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860A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860AF">
              <w:rPr>
                <w:rFonts w:ascii="Arial" w:hAnsi="Arial" w:cs="Arial"/>
                <w:bCs/>
                <w:sz w:val="14"/>
                <w:szCs w:val="14"/>
              </w:rPr>
              <w:t>1</w:t>
            </w:r>
            <w:r w:rsidRPr="009860AF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9860AF">
              <w:rPr>
                <w:rFonts w:ascii="Arial" w:hAnsi="Arial" w:cs="Arial"/>
                <w:bCs/>
                <w:sz w:val="14"/>
                <w:szCs w:val="14"/>
              </w:rPr>
              <w:t>059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540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611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в процентах от общего числа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организаций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47,9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24,4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27,7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Кредиторская задолженность, </w:t>
            </w:r>
            <w:proofErr w:type="gramStart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млн</w:t>
            </w:r>
            <w:proofErr w:type="gramEnd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руб.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196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184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131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307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75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992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в процентах от общей суммы задолженности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48,6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32,6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18,8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Дебиторская задолженность, </w:t>
            </w:r>
            <w:proofErr w:type="gramStart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млн</w:t>
            </w:r>
            <w:proofErr w:type="gramEnd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руб.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82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567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95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293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49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587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в процентах от общей суммы задолженности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36,3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41,9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46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21,8</w:t>
            </w:r>
          </w:p>
        </w:tc>
      </w:tr>
    </w:tbl>
    <w:p w:rsidR="005976D4" w:rsidRDefault="005976D4" w:rsidP="005976D4">
      <w:pPr>
        <w:spacing w:before="60"/>
        <w:rPr>
          <w:rFonts w:ascii="Arial" w:hAnsi="Arial" w:cs="Arial"/>
          <w:sz w:val="12"/>
          <w:szCs w:val="12"/>
          <w:vertAlign w:val="superscript"/>
        </w:rPr>
      </w:pPr>
    </w:p>
    <w:p w:rsidR="005976D4" w:rsidRPr="000A7C53" w:rsidRDefault="005976D4" w:rsidP="005976D4">
      <w:pPr>
        <w:pageBreakBefore/>
        <w:spacing w:after="40"/>
        <w:jc w:val="right"/>
        <w:rPr>
          <w:rFonts w:ascii="Arial" w:hAnsi="Arial"/>
          <w:color w:val="000000" w:themeColor="text1"/>
          <w:sz w:val="14"/>
        </w:rPr>
      </w:pPr>
      <w:r w:rsidRPr="000A7C53">
        <w:rPr>
          <w:rFonts w:ascii="Arial" w:hAnsi="Arial"/>
          <w:color w:val="000000" w:themeColor="text1"/>
          <w:sz w:val="14"/>
        </w:rPr>
        <w:lastRenderedPageBreak/>
        <w:t>Продолжение табл. 3.1</w:t>
      </w:r>
      <w:r w:rsidRPr="000A7C53">
        <w:rPr>
          <w:rFonts w:ascii="Arial" w:hAnsi="Arial"/>
          <w:color w:val="000000" w:themeColor="text1"/>
          <w:sz w:val="14"/>
          <w:lang w:val="en-US"/>
        </w:rPr>
        <w:t>1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8"/>
        <w:gridCol w:w="1133"/>
        <w:gridCol w:w="1133"/>
        <w:gridCol w:w="1133"/>
      </w:tblGrid>
      <w:tr w:rsidR="005976D4" w:rsidRPr="00C64CE5" w:rsidTr="00906E7F">
        <w:trPr>
          <w:cantSplit/>
          <w:jc w:val="center"/>
        </w:trPr>
        <w:tc>
          <w:tcPr>
            <w:tcW w:w="3272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6D4" w:rsidRPr="00F21BDF" w:rsidRDefault="005976D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6D4" w:rsidRPr="00F21BDF" w:rsidRDefault="005976D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F21BDF">
              <w:rPr>
                <w:rFonts w:ascii="Arial" w:hAnsi="Arial" w:cs="Arial"/>
                <w:color w:val="000000" w:themeColor="text1"/>
                <w:sz w:val="12"/>
                <w:szCs w:val="12"/>
              </w:rPr>
              <w:t>Коэффициент текущей ликвидности, процентов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6D4" w:rsidRPr="00F21BDF" w:rsidRDefault="005976D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D4" w:rsidRPr="00F21BDF" w:rsidRDefault="005976D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0 – 100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D4" w:rsidRPr="00F21BDF" w:rsidRDefault="005976D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101 – 200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6D4" w:rsidRPr="00F21BDF" w:rsidRDefault="005976D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свыше 200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top w:val="single" w:sz="6" w:space="0" w:color="auto"/>
              <w:right w:val="single" w:sz="6" w:space="0" w:color="auto"/>
            </w:tcBorders>
          </w:tcPr>
          <w:p w:rsidR="005976D4" w:rsidRPr="00F21BDF" w:rsidRDefault="005976D4" w:rsidP="00906E7F">
            <w:pPr>
              <w:spacing w:before="60" w:after="40" w:line="140" w:lineRule="exac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0" w:after="40" w:line="1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2020</w:t>
            </w:r>
            <w:r w:rsidRPr="00F21BD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г.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</w:tcPr>
          <w:p w:rsidR="005976D4" w:rsidRPr="00F21BDF" w:rsidRDefault="005976D4" w:rsidP="00906E7F">
            <w:pPr>
              <w:spacing w:before="68" w:line="140" w:lineRule="exac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Всего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Число организаций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33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924D89">
              <w:rPr>
                <w:rFonts w:ascii="Arial" w:hAnsi="Arial" w:cs="Arial"/>
                <w:bCs/>
                <w:sz w:val="14"/>
                <w:szCs w:val="14"/>
              </w:rPr>
              <w:t>533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31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924D89">
              <w:rPr>
                <w:rFonts w:ascii="Arial" w:hAnsi="Arial" w:cs="Arial"/>
                <w:bCs/>
                <w:sz w:val="14"/>
                <w:szCs w:val="14"/>
              </w:rPr>
              <w:t>183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34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924D89">
              <w:rPr>
                <w:rFonts w:ascii="Arial" w:hAnsi="Arial" w:cs="Arial"/>
                <w:bCs/>
                <w:sz w:val="14"/>
                <w:szCs w:val="14"/>
              </w:rPr>
              <w:t>974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в процентах от общего числа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организаций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33,6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31,3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35,1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Кредиторская задолженность, </w:t>
            </w:r>
            <w:proofErr w:type="gramStart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млн</w:t>
            </w:r>
            <w:proofErr w:type="gramEnd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руб.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27 819 237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39 356 741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12 355 813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в процентах от общей суммы задолженности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35,0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49,5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15,5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Дебиторская задолженность, </w:t>
            </w:r>
            <w:proofErr w:type="gramStart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млн</w:t>
            </w:r>
            <w:proofErr w:type="gramEnd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руб.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11 668 373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34 966 516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22 476 693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в процентах от общей суммы задолженности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16,9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50,6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32,5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</w:tcPr>
          <w:p w:rsidR="005976D4" w:rsidRPr="00F21BDF" w:rsidRDefault="005976D4" w:rsidP="00906E7F">
            <w:pPr>
              <w:spacing w:before="68" w:line="140" w:lineRule="exact"/>
              <w:ind w:left="284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них по видам</w:t>
            </w: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экономической деятельности: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</w:tcPr>
          <w:p w:rsidR="005976D4" w:rsidRPr="00F21BDF" w:rsidRDefault="005976D4" w:rsidP="00906E7F">
            <w:pPr>
              <w:spacing w:before="68" w:line="140" w:lineRule="exact"/>
              <w:ind w:left="285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Число организаций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770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431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624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в процентах от общего числа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организаций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42,2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23,6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34,2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Кредиторская задолженность, </w:t>
            </w:r>
            <w:proofErr w:type="gramStart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млн</w:t>
            </w:r>
            <w:proofErr w:type="gramEnd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руб.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1 639 409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1 503 365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1 065 509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в процентах от общей суммы задолженности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39,0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35,7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25,3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Дебиторская задолженность, </w:t>
            </w:r>
            <w:proofErr w:type="gramStart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млн</w:t>
            </w:r>
            <w:proofErr w:type="gramEnd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руб.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860AF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860AF">
              <w:rPr>
                <w:rFonts w:ascii="Arial" w:hAnsi="Arial" w:cs="Arial"/>
                <w:bCs/>
                <w:sz w:val="14"/>
                <w:szCs w:val="14"/>
              </w:rPr>
              <w:t>953</w:t>
            </w:r>
            <w:r w:rsidRPr="009860AF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9860AF">
              <w:rPr>
                <w:rFonts w:ascii="Arial" w:hAnsi="Arial" w:cs="Arial"/>
                <w:bCs/>
                <w:sz w:val="14"/>
                <w:szCs w:val="14"/>
              </w:rPr>
              <w:t>788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1 668 533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3 330 986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в процентах от общей суммы задолженности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16,0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28,0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56,0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</w:tcPr>
          <w:p w:rsidR="005976D4" w:rsidRPr="00F21BDF" w:rsidRDefault="005976D4" w:rsidP="00906E7F">
            <w:pPr>
              <w:spacing w:before="68" w:line="140" w:lineRule="exact"/>
              <w:ind w:left="284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Число организаций 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924D89">
              <w:rPr>
                <w:rFonts w:ascii="Arial" w:hAnsi="Arial" w:cs="Arial"/>
                <w:bCs/>
                <w:sz w:val="14"/>
                <w:szCs w:val="14"/>
              </w:rPr>
              <w:t>527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924D89">
              <w:rPr>
                <w:rFonts w:ascii="Arial" w:hAnsi="Arial" w:cs="Arial"/>
                <w:bCs/>
                <w:sz w:val="14"/>
                <w:szCs w:val="14"/>
              </w:rPr>
              <w:t>544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5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924D89">
              <w:rPr>
                <w:rFonts w:ascii="Arial" w:hAnsi="Arial" w:cs="Arial"/>
                <w:bCs/>
                <w:sz w:val="14"/>
                <w:szCs w:val="14"/>
              </w:rPr>
              <w:t>050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в процентах от общего числа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организаций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26,9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34,6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38,5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Кредиторская задолженность, </w:t>
            </w:r>
            <w:proofErr w:type="gramStart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млн</w:t>
            </w:r>
            <w:proofErr w:type="gramEnd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руб.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5 853 080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11 729 835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3 775 878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в процентах от общей суммы задолженности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27,4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54,9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17,7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Дебиторская задолженность, </w:t>
            </w:r>
            <w:proofErr w:type="gramStart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млн</w:t>
            </w:r>
            <w:proofErr w:type="gramEnd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руб.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2 422 585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10 492 775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4 422 247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</w:tcPr>
          <w:p w:rsidR="005976D4" w:rsidRPr="00F21BDF" w:rsidRDefault="005976D4" w:rsidP="00906E7F">
            <w:pPr>
              <w:spacing w:before="68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в процентах от общей суммы задолженности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14,0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60,5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25,5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</w:tcPr>
          <w:p w:rsidR="005976D4" w:rsidRPr="00F21BDF" w:rsidRDefault="005976D4" w:rsidP="00906E7F">
            <w:pPr>
              <w:spacing w:before="68" w:line="140" w:lineRule="exact"/>
              <w:ind w:left="284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Обеспечение электрической энергией, </w:t>
            </w:r>
            <w:r w:rsidRPr="00F21BD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  <w:t xml:space="preserve">газом и паром; кондиционирование </w:t>
            </w:r>
            <w:r w:rsidRPr="00F21BD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  <w:t xml:space="preserve">воздуха  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Число организаций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924D89">
              <w:rPr>
                <w:rFonts w:ascii="Arial" w:hAnsi="Arial" w:cs="Arial"/>
                <w:bCs/>
                <w:sz w:val="14"/>
                <w:szCs w:val="14"/>
              </w:rPr>
              <w:t>851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974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694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в процентах от общего числа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организаций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52,6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27,7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19,7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Кредиторская задолженность, </w:t>
            </w:r>
            <w:proofErr w:type="gramStart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млн</w:t>
            </w:r>
            <w:proofErr w:type="gramEnd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руб.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2 114 396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746 831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508 607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в процентах от общей суммы задолженности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62,7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22,2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15,1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Дебиторская задолженность, </w:t>
            </w:r>
            <w:proofErr w:type="gramStart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млн</w:t>
            </w:r>
            <w:proofErr w:type="gramEnd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руб.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759 455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757 911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650 323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в процентах от общей суммы задолженности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35,0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35,0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30,0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</w:tcPr>
          <w:p w:rsidR="005976D4" w:rsidRPr="00F21BDF" w:rsidRDefault="005976D4" w:rsidP="00906E7F">
            <w:pPr>
              <w:spacing w:before="68" w:line="140" w:lineRule="exact"/>
              <w:ind w:left="284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Водоснабжение; водоотведение, </w:t>
            </w:r>
            <w:r w:rsidRPr="00F21BD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br/>
            </w:r>
            <w:r w:rsidRPr="00F21BDF">
              <w:rPr>
                <w:rFonts w:ascii="Arial" w:hAnsi="Arial" w:cs="Arial"/>
                <w:b/>
                <w:bCs/>
                <w:color w:val="000000" w:themeColor="text1"/>
                <w:spacing w:val="-2"/>
                <w:sz w:val="14"/>
                <w:szCs w:val="14"/>
              </w:rPr>
              <w:t xml:space="preserve">организация сбора и утилизации </w:t>
            </w:r>
            <w:r w:rsidRPr="00F21BDF">
              <w:rPr>
                <w:rFonts w:ascii="Arial" w:hAnsi="Arial" w:cs="Arial"/>
                <w:b/>
                <w:bCs/>
                <w:color w:val="000000" w:themeColor="text1"/>
                <w:spacing w:val="-2"/>
                <w:sz w:val="14"/>
                <w:szCs w:val="14"/>
              </w:rPr>
              <w:br/>
              <w:t>отходов</w:t>
            </w:r>
            <w:r w:rsidRPr="00F21BDF">
              <w:rPr>
                <w:rFonts w:ascii="Arial" w:hAnsi="Arial" w:cs="Arial"/>
                <w:b/>
                <w:color w:val="000000" w:themeColor="text1"/>
                <w:sz w:val="14"/>
              </w:rPr>
              <w:t xml:space="preserve">, деятельность по ликвидации </w:t>
            </w:r>
            <w:r w:rsidRPr="00F21BDF">
              <w:rPr>
                <w:rFonts w:ascii="Arial" w:hAnsi="Arial" w:cs="Arial"/>
                <w:b/>
                <w:color w:val="000000" w:themeColor="text1"/>
                <w:sz w:val="14"/>
              </w:rPr>
              <w:br/>
              <w:t>загрязнений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Число организаций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924D89">
              <w:rPr>
                <w:rFonts w:ascii="Arial" w:hAnsi="Arial" w:cs="Arial"/>
                <w:bCs/>
                <w:sz w:val="14"/>
                <w:szCs w:val="14"/>
              </w:rPr>
              <w:t>128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557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599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в процентах от общего числа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организаций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49,4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24,4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26,2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Кредиторская задолженность, </w:t>
            </w:r>
            <w:proofErr w:type="gramStart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млн</w:t>
            </w:r>
            <w:proofErr w:type="gramEnd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руб.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281 021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162 811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80 473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в процентах от общей суммы задолженности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53,6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31,1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15,3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Дебиторская задолженность, </w:t>
            </w:r>
            <w:proofErr w:type="gramStart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млн</w:t>
            </w:r>
            <w:proofErr w:type="gramEnd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руб.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108 301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119 032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63 299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в процентах от общей суммы задолженности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37,3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40,9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21,8</w:t>
            </w:r>
          </w:p>
        </w:tc>
      </w:tr>
    </w:tbl>
    <w:p w:rsidR="00BC7DF6" w:rsidRDefault="00BC7DF6" w:rsidP="00096E19"/>
    <w:p w:rsidR="005976D4" w:rsidRPr="000A7C53" w:rsidRDefault="005976D4" w:rsidP="005976D4">
      <w:pPr>
        <w:pageBreakBefore/>
        <w:spacing w:after="40"/>
        <w:jc w:val="right"/>
        <w:rPr>
          <w:rFonts w:ascii="Arial" w:hAnsi="Arial"/>
          <w:color w:val="000000" w:themeColor="text1"/>
          <w:sz w:val="14"/>
        </w:rPr>
      </w:pPr>
      <w:r w:rsidRPr="000A7C53">
        <w:rPr>
          <w:rFonts w:ascii="Arial" w:hAnsi="Arial"/>
          <w:color w:val="000000" w:themeColor="text1"/>
          <w:sz w:val="14"/>
        </w:rPr>
        <w:lastRenderedPageBreak/>
        <w:t>Продолжение табл. 3.1</w:t>
      </w:r>
      <w:r w:rsidRPr="000A7C53">
        <w:rPr>
          <w:rFonts w:ascii="Arial" w:hAnsi="Arial"/>
          <w:color w:val="000000" w:themeColor="text1"/>
          <w:sz w:val="14"/>
          <w:lang w:val="en-US"/>
        </w:rPr>
        <w:t>1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8"/>
        <w:gridCol w:w="1133"/>
        <w:gridCol w:w="1133"/>
        <w:gridCol w:w="1133"/>
      </w:tblGrid>
      <w:tr w:rsidR="005976D4" w:rsidRPr="00C64CE5" w:rsidTr="00906E7F">
        <w:trPr>
          <w:cantSplit/>
          <w:jc w:val="center"/>
        </w:trPr>
        <w:tc>
          <w:tcPr>
            <w:tcW w:w="3272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6D4" w:rsidRPr="00F21BDF" w:rsidRDefault="005976D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6D4" w:rsidRPr="00F21BDF" w:rsidRDefault="005976D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F21BDF">
              <w:rPr>
                <w:rFonts w:ascii="Arial" w:hAnsi="Arial" w:cs="Arial"/>
                <w:color w:val="000000" w:themeColor="text1"/>
                <w:sz w:val="12"/>
                <w:szCs w:val="12"/>
              </w:rPr>
              <w:t>Коэффициент текущей ликвидности, процентов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6D4" w:rsidRPr="00F21BDF" w:rsidRDefault="005976D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D4" w:rsidRPr="00F21BDF" w:rsidRDefault="005976D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0 – 100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D4" w:rsidRPr="00F21BDF" w:rsidRDefault="005976D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101 – 200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76D4" w:rsidRPr="00F21BDF" w:rsidRDefault="005976D4" w:rsidP="00906E7F">
            <w:pPr>
              <w:spacing w:before="40" w:after="4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свыше 200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top w:val="single" w:sz="6" w:space="0" w:color="auto"/>
              <w:right w:val="single" w:sz="6" w:space="0" w:color="auto"/>
            </w:tcBorders>
          </w:tcPr>
          <w:p w:rsidR="005976D4" w:rsidRPr="00F21BDF" w:rsidRDefault="005976D4" w:rsidP="00906E7F">
            <w:pPr>
              <w:spacing w:before="60" w:after="40" w:line="140" w:lineRule="exac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0" w:after="40" w:line="14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2021</w:t>
            </w:r>
            <w:r w:rsidRPr="00F21BD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г.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</w:tcPr>
          <w:p w:rsidR="005976D4" w:rsidRPr="00F21BDF" w:rsidRDefault="005976D4" w:rsidP="00906E7F">
            <w:pPr>
              <w:spacing w:before="68" w:line="140" w:lineRule="exac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Всего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Число организаций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30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924D89">
              <w:rPr>
                <w:rFonts w:ascii="Arial" w:hAnsi="Arial" w:cs="Arial"/>
                <w:bCs/>
                <w:sz w:val="14"/>
                <w:szCs w:val="14"/>
              </w:rPr>
              <w:t>850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30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924D89">
              <w:rPr>
                <w:rFonts w:ascii="Arial" w:hAnsi="Arial" w:cs="Arial"/>
                <w:bCs/>
                <w:sz w:val="14"/>
                <w:szCs w:val="14"/>
              </w:rPr>
              <w:t>236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35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924D89">
              <w:rPr>
                <w:rFonts w:ascii="Arial" w:hAnsi="Arial" w:cs="Arial"/>
                <w:bCs/>
                <w:sz w:val="14"/>
                <w:szCs w:val="14"/>
              </w:rPr>
              <w:t>251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в процентах от общего числа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организаций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32,0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31,4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36,6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Кредиторская задолженность, </w:t>
            </w:r>
            <w:proofErr w:type="gramStart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млн</w:t>
            </w:r>
            <w:proofErr w:type="gramEnd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руб.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31 088 309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45 853 002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17 644 457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в процентах от общей суммы задолженности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32,9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48,5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18,6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Дебиторская задолженность, </w:t>
            </w:r>
            <w:proofErr w:type="gramStart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млн</w:t>
            </w:r>
            <w:proofErr w:type="gramEnd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руб.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13 172 479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41 130 847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27 807 654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в процентах от общей суммы задолженности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16,0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50,1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33,9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</w:tcPr>
          <w:p w:rsidR="005976D4" w:rsidRPr="00F21BDF" w:rsidRDefault="005976D4" w:rsidP="00906E7F">
            <w:pPr>
              <w:spacing w:before="68" w:line="140" w:lineRule="exact"/>
              <w:ind w:left="284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из них по видам</w:t>
            </w: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экономической деятельности: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</w:tcPr>
          <w:p w:rsidR="005976D4" w:rsidRPr="00F21BDF" w:rsidRDefault="005976D4" w:rsidP="00906E7F">
            <w:pPr>
              <w:spacing w:before="68" w:line="140" w:lineRule="exact"/>
              <w:ind w:left="285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Число организаций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718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493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583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в процентах от общего числа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организаций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40,0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27,5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32,5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Кредиторская задолженность, </w:t>
            </w:r>
            <w:proofErr w:type="gramStart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млн</w:t>
            </w:r>
            <w:proofErr w:type="gramEnd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руб.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1 937 779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3 594 634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1 132 322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в процентах от общей суммы задолженности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29,1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53,9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17,0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Дебиторская задолженность, </w:t>
            </w:r>
            <w:proofErr w:type="gramStart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млн</w:t>
            </w:r>
            <w:proofErr w:type="gramEnd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руб.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1 099 123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3 573 889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2 711 158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в процентах от общей суммы задолженности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14,9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48,4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36,7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</w:tcPr>
          <w:p w:rsidR="005976D4" w:rsidRPr="00F21BDF" w:rsidRDefault="005976D4" w:rsidP="00906E7F">
            <w:pPr>
              <w:spacing w:before="68" w:line="140" w:lineRule="exact"/>
              <w:ind w:left="284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Число организаций 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924D89">
              <w:rPr>
                <w:rFonts w:ascii="Arial" w:hAnsi="Arial" w:cs="Arial"/>
                <w:bCs/>
                <w:sz w:val="14"/>
                <w:szCs w:val="14"/>
              </w:rPr>
              <w:t>202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924D89">
              <w:rPr>
                <w:rFonts w:ascii="Arial" w:hAnsi="Arial" w:cs="Arial"/>
                <w:bCs/>
                <w:sz w:val="14"/>
                <w:szCs w:val="14"/>
              </w:rPr>
              <w:t>690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860AF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860AF">
              <w:rPr>
                <w:rFonts w:ascii="Arial" w:hAnsi="Arial" w:cs="Arial"/>
                <w:bCs/>
                <w:sz w:val="14"/>
                <w:szCs w:val="14"/>
              </w:rPr>
              <w:t>4</w:t>
            </w:r>
            <w:r w:rsidRPr="009860AF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9860AF">
              <w:rPr>
                <w:rFonts w:ascii="Arial" w:hAnsi="Arial" w:cs="Arial"/>
                <w:bCs/>
                <w:sz w:val="14"/>
                <w:szCs w:val="14"/>
              </w:rPr>
              <w:t>938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в процентах от общего числа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организаций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25,0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36,5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860AF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860AF">
              <w:rPr>
                <w:rFonts w:ascii="Arial" w:hAnsi="Arial" w:cs="Arial"/>
                <w:bCs/>
                <w:sz w:val="14"/>
                <w:szCs w:val="14"/>
              </w:rPr>
              <w:t>38,5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Кредиторская задолженность, </w:t>
            </w:r>
            <w:proofErr w:type="gramStart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млн</w:t>
            </w:r>
            <w:proofErr w:type="gramEnd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руб.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6 899 938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11 750 322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5 530 759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в процентах от общей суммы задолженности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28,5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48,6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22,9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Дебиторская задолженность, </w:t>
            </w:r>
            <w:proofErr w:type="gramStart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млн</w:t>
            </w:r>
            <w:proofErr w:type="gramEnd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руб.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2 986 043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10 380 374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7 126 422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</w:tcPr>
          <w:p w:rsidR="005976D4" w:rsidRPr="00F21BDF" w:rsidRDefault="005976D4" w:rsidP="00906E7F">
            <w:pPr>
              <w:spacing w:before="68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в процентах от общей суммы задолженности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14,6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50,6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34,8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</w:tcPr>
          <w:p w:rsidR="005976D4" w:rsidRPr="00F21BDF" w:rsidRDefault="005976D4" w:rsidP="00906E7F">
            <w:pPr>
              <w:spacing w:before="68" w:line="140" w:lineRule="exact"/>
              <w:ind w:left="284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Обеспечение электрической энергией, </w:t>
            </w:r>
            <w:r w:rsidRPr="00F21BD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  <w:t xml:space="preserve">газом и паром; кондиционирование </w:t>
            </w:r>
            <w:r w:rsidRPr="00F21BD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  <w:t xml:space="preserve">воздуха  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Число организаций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924D89">
              <w:rPr>
                <w:rFonts w:ascii="Arial" w:hAnsi="Arial" w:cs="Arial"/>
                <w:bCs/>
                <w:sz w:val="14"/>
                <w:szCs w:val="14"/>
              </w:rPr>
              <w:t>747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967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676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в процентах от общего числа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организаций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51,5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28,5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20,0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Кредиторская задолженность, </w:t>
            </w:r>
            <w:proofErr w:type="gramStart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млн</w:t>
            </w:r>
            <w:proofErr w:type="gramEnd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руб.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2 028 486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920 493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407 821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в процентах от общей суммы задолженности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60,4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27,4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12,2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Дебиторская задолженность, </w:t>
            </w:r>
            <w:proofErr w:type="gramStart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млн</w:t>
            </w:r>
            <w:proofErr w:type="gramEnd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руб.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790 415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986 272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469 699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в процентах от общей суммы задолженности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35,2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43,9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20,9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</w:tcPr>
          <w:p w:rsidR="005976D4" w:rsidRPr="00F21BDF" w:rsidRDefault="005976D4" w:rsidP="00906E7F">
            <w:pPr>
              <w:spacing w:before="68" w:line="140" w:lineRule="exact"/>
              <w:ind w:left="284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Водоснабжение; водоотведение, </w:t>
            </w:r>
            <w:r w:rsidRPr="00F21BDF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br/>
            </w:r>
            <w:r w:rsidRPr="00F21BDF">
              <w:rPr>
                <w:rFonts w:ascii="Arial" w:hAnsi="Arial" w:cs="Arial"/>
                <w:b/>
                <w:bCs/>
                <w:color w:val="000000" w:themeColor="text1"/>
                <w:spacing w:val="-2"/>
                <w:sz w:val="14"/>
                <w:szCs w:val="14"/>
              </w:rPr>
              <w:t xml:space="preserve">организация сбора и утилизации </w:t>
            </w:r>
            <w:r w:rsidRPr="00F21BDF">
              <w:rPr>
                <w:rFonts w:ascii="Arial" w:hAnsi="Arial" w:cs="Arial"/>
                <w:b/>
                <w:bCs/>
                <w:color w:val="000000" w:themeColor="text1"/>
                <w:spacing w:val="-2"/>
                <w:sz w:val="14"/>
                <w:szCs w:val="14"/>
              </w:rPr>
              <w:br/>
              <w:t>отходов</w:t>
            </w:r>
            <w:r w:rsidRPr="00F21BDF">
              <w:rPr>
                <w:rFonts w:ascii="Arial" w:hAnsi="Arial" w:cs="Arial"/>
                <w:b/>
                <w:color w:val="000000" w:themeColor="text1"/>
                <w:sz w:val="14"/>
              </w:rPr>
              <w:t xml:space="preserve">, деятельность по ликвидации </w:t>
            </w:r>
            <w:r w:rsidRPr="00F21BDF">
              <w:rPr>
                <w:rFonts w:ascii="Arial" w:hAnsi="Arial" w:cs="Arial"/>
                <w:b/>
                <w:color w:val="000000" w:themeColor="text1"/>
                <w:sz w:val="14"/>
              </w:rPr>
              <w:br/>
              <w:t>загрязнений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Число организаций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924D89">
              <w:rPr>
                <w:rFonts w:ascii="Arial" w:hAnsi="Arial" w:cs="Arial"/>
                <w:bCs/>
                <w:sz w:val="14"/>
                <w:szCs w:val="14"/>
              </w:rPr>
              <w:t>079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582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573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в процентах от общего числа </w:t>
            </w: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организаций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48,3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26,1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25,6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Кредиторская задолженность, </w:t>
            </w:r>
            <w:proofErr w:type="gramStart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млн</w:t>
            </w:r>
            <w:proofErr w:type="gramEnd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руб.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252 620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259 602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59 530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в процентах от общей суммы задолженности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44,2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45,4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10,4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Дебиторская задолженность, </w:t>
            </w:r>
            <w:proofErr w:type="gramStart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млн</w:t>
            </w:r>
            <w:proofErr w:type="gramEnd"/>
            <w:r w:rsidRPr="00F21BD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руб.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92 392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167 387</w:t>
            </w:r>
          </w:p>
        </w:tc>
        <w:tc>
          <w:tcPr>
            <w:tcW w:w="1149" w:type="dxa"/>
            <w:tcBorders>
              <w:lef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67 835</w:t>
            </w:r>
          </w:p>
        </w:tc>
      </w:tr>
      <w:tr w:rsidR="005976D4" w:rsidRPr="00C64CE5" w:rsidTr="00906E7F">
        <w:trPr>
          <w:cantSplit/>
          <w:jc w:val="center"/>
        </w:trPr>
        <w:tc>
          <w:tcPr>
            <w:tcW w:w="3272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5976D4" w:rsidRPr="00F21BDF" w:rsidRDefault="005976D4" w:rsidP="00906E7F">
            <w:pPr>
              <w:spacing w:before="68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21BDF">
              <w:rPr>
                <w:rFonts w:ascii="Arial" w:hAnsi="Arial" w:cs="Arial"/>
                <w:color w:val="000000" w:themeColor="text1"/>
                <w:sz w:val="14"/>
                <w:szCs w:val="14"/>
              </w:rPr>
              <w:t>в процентах от общей суммы задолженности</w:t>
            </w:r>
          </w:p>
        </w:tc>
        <w:tc>
          <w:tcPr>
            <w:tcW w:w="114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28,2</w:t>
            </w:r>
          </w:p>
        </w:tc>
        <w:tc>
          <w:tcPr>
            <w:tcW w:w="114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51,1</w:t>
            </w:r>
          </w:p>
        </w:tc>
        <w:tc>
          <w:tcPr>
            <w:tcW w:w="1149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5976D4" w:rsidRPr="00924D89" w:rsidRDefault="005976D4" w:rsidP="00906E7F">
            <w:pPr>
              <w:spacing w:before="68" w:line="140" w:lineRule="exact"/>
              <w:ind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924D89">
              <w:rPr>
                <w:rFonts w:ascii="Arial" w:hAnsi="Arial" w:cs="Arial"/>
                <w:bCs/>
                <w:sz w:val="14"/>
                <w:szCs w:val="14"/>
              </w:rPr>
              <w:t>20,7</w:t>
            </w:r>
          </w:p>
        </w:tc>
      </w:tr>
    </w:tbl>
    <w:p w:rsidR="005976D4" w:rsidRPr="00096E19" w:rsidRDefault="005976D4" w:rsidP="00096E19">
      <w:bookmarkStart w:id="0" w:name="_GoBack"/>
      <w:bookmarkEnd w:id="0"/>
    </w:p>
    <w:sectPr w:rsidR="005976D4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976D4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1028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2023-02-15T12:21:00Z</dcterms:modified>
</cp:coreProperties>
</file>