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3" w:rsidRPr="00A33D82" w:rsidRDefault="008A7473" w:rsidP="008A7473">
      <w:pPr>
        <w:spacing w:line="25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A33D82">
        <w:rPr>
          <w:rFonts w:ascii="Arial" w:hAnsi="Arial" w:cs="Arial"/>
          <w:color w:val="000000" w:themeColor="text1"/>
          <w:sz w:val="16"/>
        </w:rPr>
        <w:t xml:space="preserve">Индексы физического объема инвестиций в основной капитал рассчитаны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в сопоставимых ценах. В качестве </w:t>
      </w:r>
      <w:proofErr w:type="gramStart"/>
      <w:r w:rsidRPr="00A33D82">
        <w:rPr>
          <w:rFonts w:ascii="Arial" w:hAnsi="Arial" w:cs="Arial"/>
          <w:color w:val="000000" w:themeColor="text1"/>
          <w:sz w:val="16"/>
        </w:rPr>
        <w:t>сопоставимых</w:t>
      </w:r>
      <w:proofErr w:type="gramEnd"/>
      <w:r w:rsidRPr="00A33D82">
        <w:rPr>
          <w:rFonts w:ascii="Arial" w:hAnsi="Arial" w:cs="Arial"/>
          <w:color w:val="000000" w:themeColor="text1"/>
          <w:sz w:val="16"/>
        </w:rPr>
        <w:t xml:space="preserve"> приняты среднегодовые цены </w:t>
      </w:r>
      <w:r w:rsidRPr="00BE2BA9">
        <w:rPr>
          <w:rFonts w:ascii="Arial" w:hAnsi="Arial" w:cs="Arial"/>
          <w:color w:val="000000" w:themeColor="text1"/>
          <w:sz w:val="16"/>
        </w:rPr>
        <w:br/>
      </w:r>
      <w:r w:rsidRPr="00A33D82">
        <w:rPr>
          <w:rFonts w:ascii="Arial" w:hAnsi="Arial" w:cs="Arial"/>
          <w:color w:val="000000" w:themeColor="text1"/>
          <w:sz w:val="16"/>
        </w:rPr>
        <w:t xml:space="preserve">предыдущего года. </w:t>
      </w:r>
    </w:p>
    <w:p w:rsidR="008A7473" w:rsidRPr="00A33D82" w:rsidRDefault="008A7473" w:rsidP="008A7473">
      <w:pPr>
        <w:spacing w:line="250" w:lineRule="exact"/>
        <w:ind w:firstLine="284"/>
        <w:jc w:val="both"/>
        <w:rPr>
          <w:rFonts w:ascii="Arial" w:hAnsi="Arial" w:cs="Arial"/>
          <w:color w:val="000000" w:themeColor="text1"/>
          <w:sz w:val="14"/>
          <w:szCs w:val="14"/>
        </w:rPr>
      </w:pPr>
      <w:proofErr w:type="gramStart"/>
      <w:r w:rsidRPr="00A33D82">
        <w:rPr>
          <w:rFonts w:ascii="Arial" w:hAnsi="Arial" w:cs="Arial"/>
          <w:b/>
          <w:color w:val="000000" w:themeColor="text1"/>
          <w:sz w:val="16"/>
        </w:rPr>
        <w:t>Инвестиции</w:t>
      </w:r>
      <w:r w:rsidRPr="00A33D82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</w:t>
      </w:r>
      <w:r w:rsidRPr="00A33D82">
        <w:rPr>
          <w:rFonts w:ascii="Arial" w:hAnsi="Arial" w:cs="Arial"/>
          <w:b/>
          <w:color w:val="000000" w:themeColor="text1"/>
          <w:sz w:val="16"/>
        </w:rPr>
        <w:t>в жилища</w:t>
      </w:r>
      <w:r w:rsidRPr="00A33D82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</w:t>
      </w:r>
      <w:r>
        <w:rPr>
          <w:rFonts w:ascii="Arial" w:hAnsi="Arial" w:cs="Arial"/>
          <w:b/>
          <w:color w:val="000000" w:themeColor="text1"/>
          <w:sz w:val="16"/>
        </w:rPr>
        <w:t>(</w:t>
      </w:r>
      <w:r w:rsidRPr="00A33D82">
        <w:rPr>
          <w:rFonts w:ascii="Arial" w:hAnsi="Arial" w:cs="Arial"/>
          <w:b/>
          <w:color w:val="000000" w:themeColor="text1"/>
          <w:sz w:val="16"/>
        </w:rPr>
        <w:t>жилые здания и помещения)</w:t>
      </w:r>
      <w:r w:rsidRPr="00A33D82">
        <w:rPr>
          <w:rFonts w:ascii="Arial" w:hAnsi="Arial" w:cs="Arial"/>
          <w:color w:val="000000" w:themeColor="text1"/>
          <w:sz w:val="16"/>
        </w:rPr>
        <w:t xml:space="preserve"> – затраты </w:t>
      </w:r>
      <w:r w:rsidRPr="00A33D82">
        <w:rPr>
          <w:rFonts w:ascii="Arial" w:hAnsi="Arial" w:cs="Arial"/>
          <w:color w:val="000000" w:themeColor="text1"/>
          <w:sz w:val="16"/>
        </w:rPr>
        <w:br/>
      </w:r>
      <w:r w:rsidRPr="00A33D82">
        <w:rPr>
          <w:rFonts w:ascii="Arial" w:hAnsi="Arial" w:cs="Arial"/>
          <w:color w:val="000000" w:themeColor="text1"/>
          <w:spacing w:val="-2"/>
          <w:sz w:val="16"/>
        </w:rPr>
        <w:t>на строительство жилых помещений, зданий или частей зданий, используемых полн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t>о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t>стью</w:t>
      </w:r>
      <w:r w:rsidRPr="00A33D82">
        <w:rPr>
          <w:rFonts w:ascii="Arial" w:hAnsi="Arial" w:cs="Arial"/>
          <w:color w:val="000000" w:themeColor="text1"/>
          <w:sz w:val="16"/>
        </w:rPr>
        <w:t xml:space="preserve"> или главным образом как места проживания: входящих в жилищный фонд (общего назначения, общежития, спальные корпуса школ-интернатов, детских домов, дома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для престарелых и инвалидов) и не входящих в жилищный фонд (дома щитовые,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садовые дома, помещения контейнерного типа жилые, вагоны-дома передвижные, </w:t>
      </w:r>
      <w:r w:rsidRPr="00A33D82">
        <w:rPr>
          <w:rFonts w:ascii="Arial" w:hAnsi="Arial" w:cs="Arial"/>
          <w:color w:val="000000" w:themeColor="text1"/>
          <w:sz w:val="16"/>
        </w:rPr>
        <w:br/>
        <w:t>помещения, приспособленные под</w:t>
      </w:r>
      <w:proofErr w:type="gramEnd"/>
      <w:r w:rsidRPr="00A33D82">
        <w:rPr>
          <w:rFonts w:ascii="Arial" w:hAnsi="Arial" w:cs="Arial"/>
          <w:color w:val="000000" w:themeColor="text1"/>
          <w:sz w:val="16"/>
        </w:rPr>
        <w:t xml:space="preserve"> жилье (такие как вагоны и кузова железнодорожных вагонов, суда и другие подобные объекты).</w:t>
      </w:r>
    </w:p>
    <w:p w:rsidR="008A7473" w:rsidRPr="00A33D82" w:rsidRDefault="008A7473" w:rsidP="008A7473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 w:line="256" w:lineRule="exact"/>
        <w:ind w:firstLine="284"/>
        <w:jc w:val="both"/>
        <w:textAlignment w:val="baseline"/>
        <w:rPr>
          <w:rFonts w:ascii="Arial" w:hAnsi="Arial" w:cs="Arial"/>
          <w:color w:val="000000" w:themeColor="text1"/>
          <w:sz w:val="16"/>
          <w:szCs w:val="15"/>
        </w:rPr>
      </w:pPr>
      <w:r w:rsidRPr="00A33D82">
        <w:rPr>
          <w:rFonts w:ascii="Arial" w:hAnsi="Arial" w:cs="Arial"/>
          <w:b/>
          <w:bCs/>
          <w:color w:val="000000" w:themeColor="text1"/>
          <w:sz w:val="16"/>
          <w:szCs w:val="15"/>
        </w:rPr>
        <w:t>Инвестиции в здания (жилые и нежилые) и сооружения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t xml:space="preserve"> </w:t>
      </w:r>
      <w:r w:rsidRPr="00A33D82">
        <w:rPr>
          <w:rFonts w:ascii="Arial" w:hAnsi="Arial" w:cs="Arial"/>
          <w:color w:val="000000" w:themeColor="text1"/>
          <w:sz w:val="16"/>
        </w:rPr>
        <w:t>–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t xml:space="preserve"> расходы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на строительство объектов, которые складываются из выполненных строительных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работ и приходящихся на них прочих капитальных затрат. В эти расходы также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включаются </w:t>
      </w:r>
      <w:r w:rsidRPr="00A33D82">
        <w:rPr>
          <w:rFonts w:ascii="Arial" w:hAnsi="Arial" w:cs="Arial"/>
          <w:color w:val="000000" w:themeColor="text1"/>
          <w:spacing w:val="-2"/>
          <w:sz w:val="16"/>
          <w:szCs w:val="15"/>
        </w:rPr>
        <w:t xml:space="preserve">затраты на внутренние коммуникации необходимые для эксплуатации </w:t>
      </w:r>
      <w:r w:rsidRPr="00A33D82">
        <w:rPr>
          <w:rFonts w:ascii="Arial" w:hAnsi="Arial" w:cs="Arial"/>
          <w:color w:val="000000" w:themeColor="text1"/>
          <w:spacing w:val="-2"/>
          <w:sz w:val="16"/>
          <w:szCs w:val="15"/>
        </w:rPr>
        <w:br/>
        <w:t>данных объектов.</w:t>
      </w:r>
    </w:p>
    <w:p w:rsidR="008A7473" w:rsidRPr="00A33D82" w:rsidRDefault="008A7473" w:rsidP="008A7473">
      <w:pPr>
        <w:spacing w:line="256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A33D82">
        <w:rPr>
          <w:rFonts w:ascii="Arial" w:hAnsi="Arial" w:cs="Arial"/>
          <w:b/>
          <w:color w:val="000000" w:themeColor="text1"/>
          <w:sz w:val="16"/>
        </w:rPr>
        <w:t>Инвестиции на улучшение земель</w:t>
      </w:r>
      <w:r w:rsidRPr="00A33D82">
        <w:rPr>
          <w:rFonts w:ascii="Arial" w:hAnsi="Arial" w:cs="Arial"/>
          <w:color w:val="000000" w:themeColor="text1"/>
          <w:sz w:val="16"/>
        </w:rPr>
        <w:t xml:space="preserve"> – затраты на мелиоративные работы; затраты на проведение </w:t>
      </w:r>
      <w:proofErr w:type="spellStart"/>
      <w:r w:rsidRPr="00A33D82">
        <w:rPr>
          <w:rFonts w:ascii="Arial" w:hAnsi="Arial" w:cs="Arial"/>
          <w:color w:val="000000" w:themeColor="text1"/>
          <w:sz w:val="16"/>
        </w:rPr>
        <w:t>культуртехнических</w:t>
      </w:r>
      <w:proofErr w:type="spellEnd"/>
      <w:r w:rsidRPr="00A33D82">
        <w:rPr>
          <w:rFonts w:ascii="Arial" w:hAnsi="Arial" w:cs="Arial"/>
          <w:color w:val="000000" w:themeColor="text1"/>
          <w:sz w:val="16"/>
        </w:rPr>
        <w:t xml:space="preserve"> работ на землях, не требующих осушения;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террасирование крутых склонов; капитальные вложения на коренное улучшение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земель; расчистку земельных участков, рекультивацию земли, изменение рельефа (планировку территории), расходы, связанные с предотвращением затопления, </w:t>
      </w:r>
      <w:r w:rsidRPr="00A33D82">
        <w:rPr>
          <w:rFonts w:ascii="Arial" w:hAnsi="Arial" w:cs="Arial"/>
          <w:color w:val="000000" w:themeColor="text1"/>
          <w:sz w:val="16"/>
        </w:rPr>
        <w:br/>
        <w:t>с передачей прав собственности на землю.</w:t>
      </w:r>
    </w:p>
    <w:p w:rsidR="008A7473" w:rsidRPr="00A33D82" w:rsidRDefault="008A7473" w:rsidP="008A7473">
      <w:pPr>
        <w:pStyle w:val="af2"/>
        <w:overflowPunct w:val="0"/>
        <w:autoSpaceDE w:val="0"/>
        <w:autoSpaceDN w:val="0"/>
        <w:adjustRightInd w:val="0"/>
        <w:spacing w:before="20" w:beforeAutospacing="0" w:after="0" w:afterAutospacing="0" w:line="256" w:lineRule="exact"/>
        <w:ind w:firstLine="284"/>
        <w:jc w:val="both"/>
        <w:textAlignment w:val="baseline"/>
        <w:rPr>
          <w:rFonts w:ascii="Arial" w:hAnsi="Arial" w:cs="Arial"/>
          <w:color w:val="000000" w:themeColor="text1"/>
          <w:sz w:val="16"/>
          <w:szCs w:val="15"/>
        </w:rPr>
      </w:pPr>
      <w:r w:rsidRPr="00A33D82">
        <w:rPr>
          <w:rFonts w:ascii="Arial" w:hAnsi="Arial" w:cs="Arial"/>
          <w:b/>
          <w:bCs/>
          <w:color w:val="000000" w:themeColor="text1"/>
          <w:sz w:val="16"/>
          <w:szCs w:val="15"/>
        </w:rPr>
        <w:t>Инвестиции в машины, оборудование, транспортные средства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t xml:space="preserve"> </w:t>
      </w:r>
      <w:r w:rsidRPr="00A33D82">
        <w:rPr>
          <w:rFonts w:ascii="Arial" w:hAnsi="Arial" w:cs="Arial"/>
          <w:color w:val="000000" w:themeColor="text1"/>
          <w:sz w:val="16"/>
        </w:rPr>
        <w:t>–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t xml:space="preserve"> затраты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на приобретение машин, оборудования, включая информационное, компьютерное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и телекоммуникационное (ИКТ), транспортных средств, производственного 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br/>
        <w:t xml:space="preserve">и </w:t>
      </w:r>
      <w:r w:rsidRPr="00A33D82">
        <w:rPr>
          <w:rFonts w:ascii="Arial" w:hAnsi="Arial" w:cs="Arial"/>
          <w:color w:val="000000" w:themeColor="text1"/>
          <w:spacing w:val="-2"/>
          <w:sz w:val="16"/>
          <w:szCs w:val="15"/>
        </w:rPr>
        <w:t xml:space="preserve">хозяйственного инвентаря, а также затраты на монтаж оборудования на месте его </w:t>
      </w:r>
      <w:r w:rsidRPr="00A33D82">
        <w:rPr>
          <w:rFonts w:ascii="Arial" w:hAnsi="Arial" w:cs="Arial"/>
          <w:color w:val="000000" w:themeColor="text1"/>
          <w:spacing w:val="-2"/>
          <w:sz w:val="16"/>
          <w:szCs w:val="15"/>
        </w:rPr>
        <w:br/>
        <w:t>постоянной</w:t>
      </w:r>
      <w:r w:rsidRPr="00A33D82">
        <w:rPr>
          <w:rFonts w:ascii="Arial" w:hAnsi="Arial" w:cs="Arial"/>
          <w:color w:val="000000" w:themeColor="text1"/>
          <w:sz w:val="16"/>
          <w:szCs w:val="15"/>
        </w:rPr>
        <w:t xml:space="preserve"> эксплуатации, проверку и испытание качества монтажа.</w:t>
      </w:r>
    </w:p>
    <w:p w:rsidR="008A7473" w:rsidRPr="00724052" w:rsidRDefault="008A7473" w:rsidP="008A7473">
      <w:pPr>
        <w:spacing w:line="256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A33D82">
        <w:rPr>
          <w:rFonts w:ascii="Arial" w:hAnsi="Arial" w:cs="Arial"/>
          <w:b/>
          <w:color w:val="000000" w:themeColor="text1"/>
          <w:sz w:val="16"/>
        </w:rPr>
        <w:t xml:space="preserve">Инвестиции в объекты </w:t>
      </w:r>
      <w:r w:rsidRPr="00A33D82">
        <w:rPr>
          <w:rFonts w:ascii="Arial" w:hAnsi="Arial" w:cs="Arial"/>
          <w:b/>
          <w:color w:val="000000" w:themeColor="text1"/>
          <w:spacing w:val="-2"/>
          <w:sz w:val="16"/>
        </w:rPr>
        <w:t>интеллектуальной собственности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t xml:space="preserve"> – затраты на научные исследования и разработки, расходы на разведку недр и оценку запасов полезных 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br/>
        <w:t xml:space="preserve">ископаемых, затраты на создание и приобретение компьютерного программного 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br/>
        <w:t xml:space="preserve">обеспечения и баз данных, затраты на создание и приобретение произведений </w:t>
      </w:r>
      <w:r w:rsidRPr="00A33D82">
        <w:rPr>
          <w:rFonts w:ascii="Arial" w:hAnsi="Arial" w:cs="Arial"/>
          <w:color w:val="000000" w:themeColor="text1"/>
          <w:spacing w:val="-2"/>
          <w:sz w:val="16"/>
        </w:rPr>
        <w:br/>
        <w:t>развлекательного жанра, литературы и искусства.</w:t>
      </w:r>
    </w:p>
    <w:p w:rsidR="008A7473" w:rsidRPr="00A33D82" w:rsidRDefault="008A7473" w:rsidP="008A7473">
      <w:pPr>
        <w:pageBreakBefore/>
        <w:spacing w:line="256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A33D82">
        <w:rPr>
          <w:rFonts w:ascii="Arial" w:hAnsi="Arial" w:cs="Arial"/>
          <w:color w:val="000000" w:themeColor="text1"/>
          <w:sz w:val="16"/>
        </w:rPr>
        <w:lastRenderedPageBreak/>
        <w:t xml:space="preserve">Данные по видам основных фондов (табл. 4.3) приведены в соответствии </w:t>
      </w:r>
      <w:r w:rsidRPr="00A33D82">
        <w:rPr>
          <w:rFonts w:ascii="Arial" w:hAnsi="Arial" w:cs="Arial"/>
          <w:color w:val="000000" w:themeColor="text1"/>
          <w:sz w:val="16"/>
        </w:rPr>
        <w:br/>
        <w:t xml:space="preserve">с Общероссийским классификатором основных фондов </w:t>
      </w:r>
      <w:proofErr w:type="gramStart"/>
      <w:r w:rsidRPr="00A33D82">
        <w:rPr>
          <w:rFonts w:ascii="Arial" w:hAnsi="Arial" w:cs="Arial"/>
          <w:color w:val="000000" w:themeColor="text1"/>
          <w:sz w:val="16"/>
        </w:rPr>
        <w:t>ОК</w:t>
      </w:r>
      <w:proofErr w:type="gramEnd"/>
      <w:r w:rsidRPr="00A33D82">
        <w:rPr>
          <w:rFonts w:ascii="Arial" w:hAnsi="Arial" w:cs="Arial"/>
          <w:color w:val="000000" w:themeColor="text1"/>
          <w:sz w:val="16"/>
        </w:rPr>
        <w:t xml:space="preserve"> 013-2014 (СН2008).</w:t>
      </w:r>
    </w:p>
    <w:p w:rsidR="008A7473" w:rsidRPr="000D63A4" w:rsidRDefault="008A7473" w:rsidP="008A7473">
      <w:pPr>
        <w:pStyle w:val="af2"/>
        <w:overflowPunct w:val="0"/>
        <w:autoSpaceDE w:val="0"/>
        <w:autoSpaceDN w:val="0"/>
        <w:adjustRightInd w:val="0"/>
        <w:spacing w:before="20" w:beforeAutospacing="0" w:after="0" w:afterAutospacing="0" w:line="256" w:lineRule="exact"/>
        <w:ind w:firstLine="284"/>
        <w:jc w:val="both"/>
        <w:textAlignment w:val="baseline"/>
        <w:rPr>
          <w:rFonts w:ascii="Arial" w:hAnsi="Arial" w:cs="Arial"/>
          <w:strike/>
          <w:sz w:val="16"/>
          <w:szCs w:val="15"/>
        </w:rPr>
      </w:pPr>
      <w:r w:rsidRPr="000D63A4">
        <w:rPr>
          <w:rFonts w:ascii="Arial" w:hAnsi="Arial" w:cs="Arial"/>
          <w:sz w:val="16"/>
        </w:rPr>
        <w:t xml:space="preserve">Распределение инвестиций в основной капитал по видам экономической </w:t>
      </w:r>
      <w:r w:rsidRPr="000D63A4">
        <w:rPr>
          <w:rFonts w:ascii="Arial" w:hAnsi="Arial" w:cs="Arial"/>
          <w:sz w:val="16"/>
        </w:rPr>
        <w:br/>
        <w:t>деятельности приведено в соответствии с Общероссийским классификатором видов экономической деятельност</w:t>
      </w:r>
      <w:proofErr w:type="gramStart"/>
      <w:r w:rsidRPr="000D63A4">
        <w:rPr>
          <w:rFonts w:ascii="Arial" w:hAnsi="Arial" w:cs="Arial"/>
          <w:sz w:val="16"/>
        </w:rPr>
        <w:t>и(</w:t>
      </w:r>
      <w:proofErr w:type="gramEnd"/>
      <w:r w:rsidRPr="000D63A4">
        <w:rPr>
          <w:rFonts w:ascii="Arial" w:hAnsi="Arial" w:cs="Arial"/>
          <w:sz w:val="16"/>
        </w:rPr>
        <w:t xml:space="preserve">ОКВЭД 2), исходя из назначения основных средств, то есть той сферы деятельности, в рамках которой они будут </w:t>
      </w:r>
      <w:r w:rsidRPr="000D63A4">
        <w:rPr>
          <w:rFonts w:ascii="Arial" w:hAnsi="Arial" w:cs="Arial"/>
          <w:spacing w:val="-2"/>
          <w:sz w:val="16"/>
        </w:rPr>
        <w:t xml:space="preserve">функционировать </w:t>
      </w:r>
      <w:r w:rsidRPr="000D63A4">
        <w:rPr>
          <w:rFonts w:ascii="Arial" w:hAnsi="Arial" w:cs="Arial"/>
          <w:spacing w:val="-2"/>
          <w:sz w:val="16"/>
        </w:rPr>
        <w:br/>
      </w:r>
      <w:r w:rsidRPr="000D63A4">
        <w:rPr>
          <w:rFonts w:ascii="Arial" w:hAnsi="Arial" w:cs="Arial"/>
          <w:sz w:val="16"/>
        </w:rPr>
        <w:t>(табл. 4.6, 4.7).</w:t>
      </w:r>
      <w:r w:rsidRPr="000D63A4">
        <w:rPr>
          <w:rFonts w:ascii="Arial" w:hAnsi="Arial" w:cs="Arial"/>
          <w:spacing w:val="-2"/>
          <w:sz w:val="16"/>
        </w:rPr>
        <w:t xml:space="preserve">  </w:t>
      </w:r>
    </w:p>
    <w:p w:rsidR="008A7473" w:rsidRPr="006632B0" w:rsidRDefault="008A7473" w:rsidP="008A7473">
      <w:pPr>
        <w:spacing w:before="20" w:line="256" w:lineRule="exact"/>
        <w:ind w:firstLine="284"/>
        <w:jc w:val="both"/>
        <w:rPr>
          <w:rFonts w:ascii="Arial" w:hAnsi="Arial" w:cs="Arial"/>
          <w:b/>
          <w:sz w:val="16"/>
        </w:rPr>
      </w:pPr>
      <w:r w:rsidRPr="000D63A4">
        <w:rPr>
          <w:rFonts w:ascii="Arial" w:hAnsi="Arial" w:cs="Arial"/>
          <w:b/>
          <w:sz w:val="16"/>
        </w:rPr>
        <w:t xml:space="preserve">Прямые инвестиции </w:t>
      </w:r>
      <w:r w:rsidRPr="006632B0">
        <w:rPr>
          <w:rFonts w:ascii="Arial" w:hAnsi="Arial" w:cs="Arial"/>
          <w:sz w:val="16"/>
        </w:rPr>
        <w:t xml:space="preserve">– это категория трансграничных инвестиций, при которой </w:t>
      </w:r>
      <w:r w:rsidRPr="006632B0">
        <w:rPr>
          <w:rFonts w:ascii="Arial" w:hAnsi="Arial" w:cs="Arial"/>
          <w:sz w:val="16"/>
        </w:rPr>
        <w:br/>
        <w:t xml:space="preserve">резидент одной страны осуществляет контроль (более 50% голосов в управлении) </w:t>
      </w:r>
      <w:r w:rsidRPr="006632B0">
        <w:rPr>
          <w:rFonts w:ascii="Arial" w:hAnsi="Arial" w:cs="Arial"/>
          <w:sz w:val="16"/>
        </w:rPr>
        <w:br/>
        <w:t>или имеет значительную степень влияния (от 10 до 50%) на управление предприятием, являющимся резидентом другой страны.</w:t>
      </w:r>
    </w:p>
    <w:p w:rsidR="00BC7DF6" w:rsidRPr="008A7473" w:rsidRDefault="00BC7DF6" w:rsidP="00096E19">
      <w:bookmarkStart w:id="0" w:name="_GoBack"/>
      <w:bookmarkEnd w:id="0"/>
    </w:p>
    <w:sectPr w:rsidR="00BC7DF6" w:rsidRPr="008A7473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A7473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2023-02-15T14:07:00Z</dcterms:modified>
</cp:coreProperties>
</file>